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16" w:rsidRDefault="001E5116" w:rsidP="001E5116">
      <w:bookmarkStart w:id="0" w:name="_GoBack"/>
      <w:bookmarkEnd w:id="0"/>
    </w:p>
    <w:p w:rsidR="001E5116" w:rsidRDefault="001E5116" w:rsidP="001E5116">
      <w:pPr>
        <w:ind w:left="1080" w:right="3585"/>
        <w:rPr>
          <w:color w:val="000080"/>
        </w:rPr>
      </w:pPr>
      <w:r>
        <w:rPr>
          <w:noProof/>
        </w:rPr>
        <w:drawing>
          <wp:inline distT="0" distB="0" distL="0" distR="0">
            <wp:extent cx="5400040" cy="20643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16" w:rsidRDefault="001E5116" w:rsidP="001E5116">
      <w:pPr>
        <w:rPr>
          <w:rFonts w:ascii="Arial" w:hAnsi="Arial" w:cs="Arial"/>
          <w:color w:val="00008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202"/>
        <w:gridCol w:w="3861"/>
        <w:gridCol w:w="221"/>
      </w:tblGrid>
      <w:tr w:rsidR="001E5116" w:rsidTr="001E5116">
        <w:tc>
          <w:tcPr>
            <w:tcW w:w="182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16" w:rsidRDefault="001E5116">
            <w:pPr>
              <w:jc w:val="center"/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</w:tr>
      <w:tr w:rsidR="001E5116" w:rsidTr="001E5116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16" w:rsidRDefault="001E5116">
            <w:pPr>
              <w:rPr>
                <w:rFonts w:ascii="Tahoma" w:hAnsi="Tahoma" w:cs="Tahoma"/>
                <w:color w:val="1F497D"/>
                <w:sz w:val="20"/>
                <w:szCs w:val="20"/>
              </w:rPr>
            </w:pPr>
          </w:p>
        </w:tc>
        <w:tc>
          <w:tcPr>
            <w:tcW w:w="8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baduzu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ingurua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hobetuko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dira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Hala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eginez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faktura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energetikoa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murriztuko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da,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ingurumena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jasangarriagoa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izanen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da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hiri-inguru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atsegin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irisgarriagoa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izanen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duzu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eraikina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baduzu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erretiroa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hartzen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duzunean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hobeki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biziko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zara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gaur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egun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denean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birgaitzea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etorkizuneko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inbertsioa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da, zurea,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ingurukoena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eta,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azken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finean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gizarte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osoarena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Nafarroako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Gobernuak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baditu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laguntza-lerro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garrantzitsuak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laguntzeko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obra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txikiak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egiteko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(2.000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euroko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aurrekontua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gutxienez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eraikinean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beharreko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erreforma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handiak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egiteko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inguratzaile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termikoak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berokuntzako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sistema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zentralizatuak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igogailuak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Diru-laguntzak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motatakoak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izan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daitezke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norbanakoari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jabe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elkarteari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emandakoak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aurrekontu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babesgarriaren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%50era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bakoitzeko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25.000 euro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bitartekoak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).</w:t>
            </w: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Diru-laguntza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horiek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tramitatzen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laguntzeko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birgaikuntza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bulegoen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sare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non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profesionalek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adituek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langile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kualifikatuek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egiten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baitute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etxetik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hurbil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baduzu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Eraikinak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Birgaitzeko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bulego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Halako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bederatzi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bulego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dituzu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Nafarroako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osoan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bulegotara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joan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behar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duzun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jakiteko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jo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ezazu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hona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bulego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hori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birgaitu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beharreko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etxebizitza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dagoen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herriari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dagokiona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2"/>
                  <w:szCs w:val="22"/>
                  <w:lang w:val="eu-ES"/>
                </w:rPr>
                <w:t>da</w:t>
              </w:r>
            </w:hyperlink>
            <w:r>
              <w:rPr>
                <w:rFonts w:ascii="Arial" w:hAnsi="Arial" w:cs="Arial"/>
                <w:color w:val="000080"/>
                <w:sz w:val="22"/>
                <w:szCs w:val="22"/>
                <w:lang w:val="eu-ES"/>
              </w:rPr>
              <w:t>.</w:t>
            </w: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Informa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zaitez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  <w:p w:rsidR="001E5116" w:rsidRDefault="001E5116">
            <w:pPr>
              <w:ind w:left="43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E5116" w:rsidRDefault="001E5116">
            <w:pPr>
              <w:ind w:left="40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u-ES"/>
              </w:rPr>
              <w:t>Birgaitze babestua: Hobetu zure etxebizitza, Hobetu zure bizia.</w:t>
            </w:r>
          </w:p>
          <w:p w:rsidR="001E5116" w:rsidRDefault="001E5116">
            <w:pPr>
              <w:ind w:left="426"/>
              <w:rPr>
                <w:rFonts w:ascii="Arial" w:hAnsi="Arial" w:cs="Arial"/>
                <w:sz w:val="22"/>
                <w:szCs w:val="22"/>
                <w:lang w:val="eu-ES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2"/>
                  <w:szCs w:val="22"/>
                  <w:lang w:val="eu-ES"/>
                </w:rPr>
                <w:t>Zaharberritzea - navarra.es</w:t>
              </w:r>
            </w:hyperlink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</w:p>
          <w:p w:rsidR="001E5116" w:rsidRDefault="001E5116">
            <w:pPr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</w:p>
          <w:p w:rsidR="001E5116" w:rsidRDefault="001E5116">
            <w:pPr>
              <w:ind w:left="439"/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  <w:hyperlink r:id="rId8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  <w:lang w:val="eu-ES"/>
                </w:rPr>
                <w:t>https://www.youtube.com/watch?v=22NLk2Mb3pU</w:t>
              </w:r>
            </w:hyperlink>
          </w:p>
          <w:p w:rsidR="001E5116" w:rsidRDefault="001E5116">
            <w:pPr>
              <w:ind w:left="439"/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  <w:lang w:val="eu-ES"/>
                </w:rPr>
                <w:t>https://www.youtube.com/watch?v=hHBr6r1kRig</w:t>
              </w:r>
            </w:hyperlink>
          </w:p>
          <w:p w:rsidR="001E5116" w:rsidRDefault="001E5116">
            <w:pPr>
              <w:ind w:left="439"/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</w:p>
          <w:p w:rsidR="001E5116" w:rsidRDefault="001E5116">
            <w:pPr>
              <w:ind w:left="1146"/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1895475" cy="17621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_x002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lastRenderedPageBreak/>
              <w:t xml:space="preserve">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es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hogar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mejora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entorno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puede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ayudar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reducir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factura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energética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contribuyendo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sostenibilidad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medioambiental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permite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disfrutar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entorno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urbano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agradable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accesible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>.</w:t>
            </w: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edificio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facilitará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puedas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seguir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hoy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es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hogar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cuando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llegues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tercera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edad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es una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inversión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futuro, 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tuyo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el de 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rodean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última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instancia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el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toda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sociedad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>.</w:t>
            </w: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Gobierno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Navarra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tiene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importantes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líneas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ayudas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ayudarte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desde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pequeñas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obras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(presupuesto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mínimo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2.000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euros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)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grandes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reformas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llevar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cabo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tu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edificio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envolventes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térmicas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sistemas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centralizados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calefacción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ascensores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). Las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subvenciones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pueden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ser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personales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o a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comunidad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propietarios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hasta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el 50% del presupuesto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protegible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hasta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25.000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euros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>.</w:t>
            </w: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ayudarte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tramitar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dichas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ayudas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existe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una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Oficinas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Rehabilitación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donde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trabajan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profesionales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expertos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lastRenderedPageBreak/>
              <w:t>cualificados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donde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tienes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una Oficina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Rehabilitación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(ORVE)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cerca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Hay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9 ORVES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distribuidas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toda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geografía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navarra.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Puedes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consultar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cuál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corresponde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función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localidad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vivienda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rehabilitar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hyperlink r:id="rId12" w:history="1">
              <w:r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aquí</w:t>
              </w:r>
            </w:hyperlink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u-ES"/>
              </w:rPr>
              <w:t>Infórmate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. </w:t>
            </w: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1E5116" w:rsidRDefault="001E511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>Rehabilitación Protegida: Mejora tu vivienda, Mejora tu vida.</w:t>
            </w:r>
          </w:p>
          <w:p w:rsidR="001E5116" w:rsidRDefault="001E51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Rehabilitación - navarra.es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  <w:hyperlink r:id="rId14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https://www.youtube.com/watch?v=22NLk2Mb3pU</w:t>
              </w:r>
            </w:hyperlink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  <w:hyperlink r:id="rId15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https://www.youtube.com/watch?v=hHBr6r1kRig</w:t>
              </w:r>
            </w:hyperlink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:rsidR="001E5116" w:rsidRDefault="001E5116">
            <w:pPr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:rsidR="001E5116" w:rsidRDefault="001E5116">
            <w:p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1895475" cy="1762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_x002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116" w:rsidRDefault="001E5116">
            <w:p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116" w:rsidRDefault="001E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16" w:rsidRDefault="001E5116">
            <w:pPr>
              <w:rPr>
                <w:rFonts w:ascii="Tahoma" w:hAnsi="Tahoma" w:cs="Tahoma"/>
                <w:color w:val="1F497D"/>
                <w:sz w:val="20"/>
                <w:szCs w:val="20"/>
              </w:rPr>
            </w:pPr>
          </w:p>
        </w:tc>
      </w:tr>
    </w:tbl>
    <w:p w:rsidR="001E5116" w:rsidRDefault="001E5116" w:rsidP="001E5116">
      <w:pPr>
        <w:rPr>
          <w:rFonts w:ascii="Tahoma" w:hAnsi="Tahoma" w:cs="Tahoma"/>
          <w:color w:val="000000"/>
          <w:sz w:val="20"/>
          <w:szCs w:val="20"/>
          <w:lang w:val="eu-ES"/>
        </w:rPr>
      </w:pPr>
    </w:p>
    <w:p w:rsidR="00A17CB7" w:rsidRDefault="00A17CB7"/>
    <w:sectPr w:rsidR="00A17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16"/>
    <w:rsid w:val="001E5116"/>
    <w:rsid w:val="00A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BC15-6AE2-46ED-AF24-33BDB8D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511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5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NLk2Mb3pU" TargetMode="External"/><Relationship Id="rId13" Type="http://schemas.openxmlformats.org/officeDocument/2006/relationships/hyperlink" Target="http://www.navarra.es/home_es/Temas/Vivienda/Ciudadanos/Rehabilitacio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arra.es/home_eu/Temas/Vivienda/Ciudadanos/Rehabilitacion/" TargetMode="External"/><Relationship Id="rId12" Type="http://schemas.openxmlformats.org/officeDocument/2006/relationships/hyperlink" Target="https://www.navarra.es/NR/rdonlyres/53E35DD3-1AFA-446E-8D48-445B94E2F584/0/LOCALIDADORVE.pdf" TargetMode="External"/><Relationship Id="rId17" Type="http://schemas.openxmlformats.org/officeDocument/2006/relationships/image" Target="cid:image003.gif@01D56C98.D581CCA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hyperlink" Target="http://www.navarra.es/NR/rdonlyres/53E35DD3-1AFA-446E-8D48-445B94E2F584/0/LOCALIDADORVE.pdf" TargetMode="External"/><Relationship Id="rId11" Type="http://schemas.openxmlformats.org/officeDocument/2006/relationships/image" Target="cid:image002.gif@01D56C98.D581CCA0" TargetMode="External"/><Relationship Id="rId5" Type="http://schemas.openxmlformats.org/officeDocument/2006/relationships/image" Target="cid:image001.gif@01D3B5F9.317287F0" TargetMode="External"/><Relationship Id="rId15" Type="http://schemas.openxmlformats.org/officeDocument/2006/relationships/hyperlink" Target="https://www.youtube.com/watch?v=hHBr6r1kRig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www.youtube.com/watch?v=hHBr6r1kRig" TargetMode="External"/><Relationship Id="rId14" Type="http://schemas.openxmlformats.org/officeDocument/2006/relationships/hyperlink" Target="https://www.youtube.com/watch?v=22NLk2Mb3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Sanchez Aldaz</dc:creator>
  <cp:keywords/>
  <dc:description/>
  <cp:lastModifiedBy>Beatriz Sanchez Aldaz</cp:lastModifiedBy>
  <cp:revision>1</cp:revision>
  <dcterms:created xsi:type="dcterms:W3CDTF">2019-10-14T06:24:00Z</dcterms:created>
  <dcterms:modified xsi:type="dcterms:W3CDTF">2019-10-14T06:25:00Z</dcterms:modified>
</cp:coreProperties>
</file>