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888FB" w14:textId="6E7A7795" w:rsidR="00043529" w:rsidRDefault="00A71FC2" w:rsidP="00A71FC2">
      <w:pPr>
        <w:jc w:val="center"/>
        <w:rPr>
          <w:b/>
          <w:bCs/>
          <w:sz w:val="28"/>
          <w:szCs w:val="28"/>
        </w:rPr>
      </w:pPr>
      <w:r w:rsidRPr="00A34A05">
        <w:rPr>
          <w:b/>
          <w:bCs/>
          <w:sz w:val="28"/>
          <w:szCs w:val="28"/>
        </w:rPr>
        <w:t xml:space="preserve">Información de la </w:t>
      </w:r>
      <w:r w:rsidR="00043529" w:rsidRPr="00A34A05">
        <w:rPr>
          <w:b/>
          <w:bCs/>
          <w:sz w:val="28"/>
          <w:szCs w:val="28"/>
        </w:rPr>
        <w:t>Comunicación Previa de Obras - LOTUS Extremadura</w:t>
      </w:r>
    </w:p>
    <w:p w14:paraId="6B4A73D5" w14:textId="77777777" w:rsidR="00DA2904" w:rsidRPr="00A34A05" w:rsidRDefault="00DA2904" w:rsidP="00A71FC2">
      <w:pPr>
        <w:jc w:val="center"/>
        <w:rPr>
          <w:b/>
          <w:bCs/>
          <w:sz w:val="28"/>
          <w:szCs w:val="28"/>
        </w:rPr>
      </w:pPr>
    </w:p>
    <w:p w14:paraId="4423F8EE" w14:textId="21FD2870" w:rsidR="00043529" w:rsidRPr="00A34A05" w:rsidRDefault="00A71FC2" w:rsidP="00043529">
      <w:pPr>
        <w:rPr>
          <w:b/>
          <w:bCs/>
          <w:sz w:val="28"/>
          <w:szCs w:val="28"/>
        </w:rPr>
      </w:pPr>
      <w:r w:rsidRPr="00A34A05">
        <w:rPr>
          <w:b/>
          <w:bCs/>
          <w:sz w:val="28"/>
          <w:szCs w:val="28"/>
        </w:rPr>
        <w:t>1.</w:t>
      </w:r>
      <w:r w:rsidR="00A34A05" w:rsidRPr="00A34A05">
        <w:rPr>
          <w:b/>
          <w:bCs/>
          <w:sz w:val="28"/>
          <w:szCs w:val="28"/>
        </w:rPr>
        <w:t>- ¿</w:t>
      </w:r>
      <w:r w:rsidR="00043529" w:rsidRPr="00A34A05">
        <w:rPr>
          <w:b/>
          <w:bCs/>
          <w:sz w:val="28"/>
          <w:szCs w:val="28"/>
        </w:rPr>
        <w:t>Qué es la comunicación previa?</w:t>
      </w:r>
    </w:p>
    <w:p w14:paraId="33118B38" w14:textId="38D6921C" w:rsidR="00043529" w:rsidRDefault="00043529" w:rsidP="00043529">
      <w:pPr>
        <w:rPr>
          <w:sz w:val="28"/>
          <w:szCs w:val="28"/>
        </w:rPr>
      </w:pPr>
      <w:r w:rsidRPr="00A34A05">
        <w:rPr>
          <w:sz w:val="28"/>
          <w:szCs w:val="28"/>
        </w:rPr>
        <w:t xml:space="preserve">Es un procedimiento administrativo que permite iniciar determinadas obras de menor entidad tras la presentación de una comunicación ante el Ayuntamiento, sin necesidad de licencia expresa, </w:t>
      </w:r>
      <w:r w:rsidRPr="00A34A05">
        <w:rPr>
          <w:b/>
          <w:bCs/>
          <w:sz w:val="28"/>
          <w:szCs w:val="28"/>
        </w:rPr>
        <w:t>siempre que se cumpla con la normativa</w:t>
      </w:r>
      <w:r w:rsidRPr="00A34A05">
        <w:rPr>
          <w:sz w:val="28"/>
          <w:szCs w:val="28"/>
        </w:rPr>
        <w:t>.</w:t>
      </w:r>
    </w:p>
    <w:p w14:paraId="1AB009F3" w14:textId="77777777" w:rsidR="00DA2904" w:rsidRPr="00A34A05" w:rsidRDefault="00DA2904" w:rsidP="00043529">
      <w:pPr>
        <w:rPr>
          <w:sz w:val="28"/>
          <w:szCs w:val="28"/>
        </w:rPr>
      </w:pPr>
    </w:p>
    <w:p w14:paraId="4316A522" w14:textId="2E4AAB9E" w:rsidR="00043529" w:rsidRPr="00A34A05" w:rsidRDefault="00A71FC2" w:rsidP="00043529">
      <w:pPr>
        <w:rPr>
          <w:b/>
          <w:bCs/>
          <w:sz w:val="28"/>
          <w:szCs w:val="28"/>
        </w:rPr>
      </w:pPr>
      <w:r w:rsidRPr="00A34A05">
        <w:rPr>
          <w:b/>
          <w:bCs/>
          <w:sz w:val="28"/>
          <w:szCs w:val="28"/>
        </w:rPr>
        <w:t>2.-</w:t>
      </w:r>
      <w:r w:rsidR="00043529" w:rsidRPr="00A34A05">
        <w:rPr>
          <w:b/>
          <w:bCs/>
          <w:sz w:val="28"/>
          <w:szCs w:val="28"/>
        </w:rPr>
        <w:t>Obras sujetas a comunicación previa (art. 162 LOTUS)</w:t>
      </w:r>
    </w:p>
    <w:p w14:paraId="56C9CF42" w14:textId="77777777" w:rsidR="00043529" w:rsidRPr="00A34A05" w:rsidRDefault="00043529" w:rsidP="00043529">
      <w:pPr>
        <w:rPr>
          <w:sz w:val="28"/>
          <w:szCs w:val="28"/>
        </w:rPr>
      </w:pPr>
      <w:r w:rsidRPr="00A34A05">
        <w:rPr>
          <w:sz w:val="28"/>
          <w:szCs w:val="28"/>
        </w:rPr>
        <w:t>• Obras de reforma, rehabilitación o modificación interior que no alteren volumetría, fachada, uso o estructura.</w:t>
      </w:r>
    </w:p>
    <w:p w14:paraId="172102E0" w14:textId="77777777" w:rsidR="00043529" w:rsidRPr="00A34A05" w:rsidRDefault="00043529" w:rsidP="00043529">
      <w:pPr>
        <w:rPr>
          <w:sz w:val="28"/>
          <w:szCs w:val="28"/>
        </w:rPr>
      </w:pPr>
      <w:r w:rsidRPr="00A34A05">
        <w:rPr>
          <w:sz w:val="28"/>
          <w:szCs w:val="28"/>
        </w:rPr>
        <w:t>• Sustitución, renovación o reparación de revestimientos, pavimentos, tabiquería, carpintería, fontanería, instalaciones eléctricas, enlucidos y pinturas.</w:t>
      </w:r>
    </w:p>
    <w:p w14:paraId="6878146E" w14:textId="77777777" w:rsidR="00043529" w:rsidRPr="00A34A05" w:rsidRDefault="00043529" w:rsidP="00043529">
      <w:pPr>
        <w:rPr>
          <w:sz w:val="28"/>
          <w:szCs w:val="28"/>
        </w:rPr>
      </w:pPr>
      <w:r w:rsidRPr="00A34A05">
        <w:rPr>
          <w:sz w:val="28"/>
          <w:szCs w:val="28"/>
        </w:rPr>
        <w:t>• Trabajos previos: sondeos, prospecciones, catas, ensayos, limpieza de solares.</w:t>
      </w:r>
    </w:p>
    <w:p w14:paraId="61B49D9F" w14:textId="77777777" w:rsidR="00043529" w:rsidRPr="00A34A05" w:rsidRDefault="00043529" w:rsidP="00043529">
      <w:pPr>
        <w:rPr>
          <w:sz w:val="28"/>
          <w:szCs w:val="28"/>
        </w:rPr>
      </w:pPr>
      <w:r w:rsidRPr="00A34A05">
        <w:rPr>
          <w:sz w:val="28"/>
          <w:szCs w:val="28"/>
        </w:rPr>
        <w:t>• Tala de arbolado en suelo urbano.</w:t>
      </w:r>
    </w:p>
    <w:p w14:paraId="690FB88C" w14:textId="77777777" w:rsidR="00043529" w:rsidRPr="00A34A05" w:rsidRDefault="00043529" w:rsidP="00043529">
      <w:pPr>
        <w:rPr>
          <w:sz w:val="28"/>
          <w:szCs w:val="28"/>
        </w:rPr>
      </w:pPr>
      <w:r w:rsidRPr="00A34A05">
        <w:rPr>
          <w:sz w:val="28"/>
          <w:szCs w:val="28"/>
        </w:rPr>
        <w:t>• Implantación de estaciones o instalaciones radioeléctricas de comunicaciones electrónicas.</w:t>
      </w:r>
    </w:p>
    <w:p w14:paraId="1B27C042" w14:textId="77777777" w:rsidR="00043529" w:rsidRPr="00A34A05" w:rsidRDefault="00043529" w:rsidP="00043529">
      <w:pPr>
        <w:rPr>
          <w:sz w:val="28"/>
          <w:szCs w:val="28"/>
        </w:rPr>
      </w:pPr>
      <w:r w:rsidRPr="00A34A05">
        <w:rPr>
          <w:sz w:val="28"/>
          <w:szCs w:val="28"/>
        </w:rPr>
        <w:t>• Cerramientos de fincas, muros y vallados.</w:t>
      </w:r>
    </w:p>
    <w:p w14:paraId="5F075EF2" w14:textId="77777777" w:rsidR="00043529" w:rsidRPr="00A34A05" w:rsidRDefault="00043529" w:rsidP="00043529">
      <w:pPr>
        <w:rPr>
          <w:sz w:val="28"/>
          <w:szCs w:val="28"/>
        </w:rPr>
      </w:pPr>
      <w:r w:rsidRPr="00A34A05">
        <w:rPr>
          <w:sz w:val="28"/>
          <w:szCs w:val="28"/>
        </w:rPr>
        <w:t>• Colocación de carteles y vallas de propaganda visibles desde la vía pública.</w:t>
      </w:r>
    </w:p>
    <w:p w14:paraId="38D241E1" w14:textId="77777777" w:rsidR="00043529" w:rsidRPr="00A34A05" w:rsidRDefault="00043529" w:rsidP="00043529">
      <w:pPr>
        <w:rPr>
          <w:sz w:val="28"/>
          <w:szCs w:val="28"/>
        </w:rPr>
      </w:pPr>
      <w:r w:rsidRPr="00A34A05">
        <w:rPr>
          <w:sz w:val="28"/>
          <w:szCs w:val="28"/>
        </w:rPr>
        <w:t>• Invernaderos de altura inferior a 1 metro y superficie inferior a 500 m².</w:t>
      </w:r>
    </w:p>
    <w:p w14:paraId="75363804" w14:textId="77777777" w:rsidR="00043529" w:rsidRPr="00A34A05" w:rsidRDefault="00043529" w:rsidP="00043529">
      <w:pPr>
        <w:rPr>
          <w:sz w:val="28"/>
          <w:szCs w:val="28"/>
        </w:rPr>
      </w:pPr>
      <w:r w:rsidRPr="00A34A05">
        <w:rPr>
          <w:sz w:val="28"/>
          <w:szCs w:val="28"/>
        </w:rPr>
        <w:t>• Reparación de firmes y cunetas de caminos privados existentes.</w:t>
      </w:r>
    </w:p>
    <w:p w14:paraId="3C0FE525" w14:textId="77777777" w:rsidR="00043529" w:rsidRPr="00A34A05" w:rsidRDefault="00043529" w:rsidP="00043529">
      <w:pPr>
        <w:rPr>
          <w:sz w:val="28"/>
          <w:szCs w:val="28"/>
        </w:rPr>
      </w:pPr>
      <w:r w:rsidRPr="00A34A05">
        <w:rPr>
          <w:sz w:val="28"/>
          <w:szCs w:val="28"/>
        </w:rPr>
        <w:t>• Instalación de placas solares en edificios y puntos de recarga de vehículos eléctricos (sin impacto patrimonial).</w:t>
      </w:r>
    </w:p>
    <w:p w14:paraId="21AA09D1" w14:textId="77777777" w:rsidR="00DA2904" w:rsidRDefault="00DA2904" w:rsidP="00043529">
      <w:pPr>
        <w:rPr>
          <w:b/>
          <w:bCs/>
          <w:sz w:val="28"/>
          <w:szCs w:val="28"/>
        </w:rPr>
      </w:pPr>
    </w:p>
    <w:p w14:paraId="48D6814D" w14:textId="224A9104" w:rsidR="00043529" w:rsidRPr="00A34A05" w:rsidRDefault="00A71FC2" w:rsidP="00043529">
      <w:pPr>
        <w:rPr>
          <w:b/>
          <w:bCs/>
          <w:sz w:val="28"/>
          <w:szCs w:val="28"/>
        </w:rPr>
      </w:pPr>
      <w:r w:rsidRPr="00A34A05">
        <w:rPr>
          <w:b/>
          <w:bCs/>
          <w:sz w:val="28"/>
          <w:szCs w:val="28"/>
        </w:rPr>
        <w:t>3.-</w:t>
      </w:r>
      <w:r w:rsidR="00043529" w:rsidRPr="00A34A05">
        <w:rPr>
          <w:b/>
          <w:bCs/>
          <w:sz w:val="28"/>
          <w:szCs w:val="28"/>
        </w:rPr>
        <w:t>Procedimiento</w:t>
      </w:r>
    </w:p>
    <w:p w14:paraId="682B3E0A" w14:textId="461872ED" w:rsidR="00043529" w:rsidRPr="00A34A05" w:rsidRDefault="00043529" w:rsidP="00043529">
      <w:pPr>
        <w:rPr>
          <w:sz w:val="28"/>
          <w:szCs w:val="28"/>
        </w:rPr>
      </w:pPr>
      <w:r w:rsidRPr="00A34A05">
        <w:rPr>
          <w:sz w:val="28"/>
          <w:szCs w:val="28"/>
        </w:rPr>
        <w:t xml:space="preserve">1. Presentación de la </w:t>
      </w:r>
      <w:r w:rsidRPr="006642F7">
        <w:rPr>
          <w:b/>
          <w:bCs/>
          <w:sz w:val="28"/>
          <w:szCs w:val="28"/>
        </w:rPr>
        <w:t xml:space="preserve">comunicación previa al inicio de la </w:t>
      </w:r>
      <w:r w:rsidR="00A34A05" w:rsidRPr="006642F7">
        <w:rPr>
          <w:b/>
          <w:bCs/>
          <w:sz w:val="28"/>
          <w:szCs w:val="28"/>
        </w:rPr>
        <w:t>obra</w:t>
      </w:r>
      <w:r w:rsidR="00A34A05" w:rsidRPr="00A34A05">
        <w:rPr>
          <w:sz w:val="28"/>
          <w:szCs w:val="28"/>
        </w:rPr>
        <w:t xml:space="preserve"> en</w:t>
      </w:r>
      <w:r w:rsidRPr="00A34A05">
        <w:rPr>
          <w:sz w:val="28"/>
          <w:szCs w:val="28"/>
        </w:rPr>
        <w:t xml:space="preserve"> el Ayuntamiento con la documentación exigida.</w:t>
      </w:r>
    </w:p>
    <w:p w14:paraId="5DF7E205" w14:textId="018D95BE" w:rsidR="00043529" w:rsidRPr="00A34A05" w:rsidRDefault="00043529" w:rsidP="00043529">
      <w:pPr>
        <w:rPr>
          <w:sz w:val="28"/>
          <w:szCs w:val="28"/>
        </w:rPr>
      </w:pPr>
      <w:r w:rsidRPr="00A34A05">
        <w:rPr>
          <w:sz w:val="28"/>
          <w:szCs w:val="28"/>
        </w:rPr>
        <w:t>2. Documentación mínima: memoria descriptiv</w:t>
      </w:r>
      <w:r w:rsidR="00A71FC2" w:rsidRPr="00A34A05">
        <w:rPr>
          <w:sz w:val="28"/>
          <w:szCs w:val="28"/>
        </w:rPr>
        <w:t>a</w:t>
      </w:r>
      <w:r w:rsidRPr="00A34A05">
        <w:rPr>
          <w:sz w:val="28"/>
          <w:szCs w:val="28"/>
        </w:rPr>
        <w:t xml:space="preserve"> de las actuaciones a realizar</w:t>
      </w:r>
      <w:r w:rsidR="00A34A05" w:rsidRPr="00A34A05">
        <w:rPr>
          <w:sz w:val="28"/>
          <w:szCs w:val="28"/>
        </w:rPr>
        <w:t xml:space="preserve"> y sus principales impactos ambientales (ej. enganches de agua, salidas de emisiones, la gestión de residuos, etc.)</w:t>
      </w:r>
      <w:r w:rsidRPr="00A34A05">
        <w:rPr>
          <w:sz w:val="28"/>
          <w:szCs w:val="28"/>
        </w:rPr>
        <w:t xml:space="preserve"> presupuesto, planos si procede, declaración de cumplimiento normativa en la solicitud</w:t>
      </w:r>
      <w:r w:rsidR="00A34A05" w:rsidRPr="00A34A05">
        <w:rPr>
          <w:sz w:val="28"/>
          <w:szCs w:val="28"/>
        </w:rPr>
        <w:t xml:space="preserve"> con fecha de inicio de las obras </w:t>
      </w:r>
    </w:p>
    <w:p w14:paraId="09A6B23C" w14:textId="7F8F63B7" w:rsidR="00043529" w:rsidRPr="00A34A05" w:rsidRDefault="00043529" w:rsidP="00043529">
      <w:pPr>
        <w:rPr>
          <w:sz w:val="28"/>
          <w:szCs w:val="28"/>
        </w:rPr>
      </w:pPr>
      <w:r w:rsidRPr="00A34A05">
        <w:rPr>
          <w:sz w:val="28"/>
          <w:szCs w:val="28"/>
        </w:rPr>
        <w:t>3. Pago de tasas e impuestos correspondientes.</w:t>
      </w:r>
    </w:p>
    <w:p w14:paraId="5B106829" w14:textId="62964E84" w:rsidR="00043529" w:rsidRPr="00A34A05" w:rsidRDefault="00043529" w:rsidP="00043529">
      <w:pPr>
        <w:rPr>
          <w:sz w:val="28"/>
          <w:szCs w:val="28"/>
        </w:rPr>
      </w:pPr>
      <w:r w:rsidRPr="00A34A05">
        <w:rPr>
          <w:sz w:val="28"/>
          <w:szCs w:val="28"/>
        </w:rPr>
        <w:t>4. Efectos: las obras pueden iniciarse desde la presentación, salvo que la documentación esté incompleta.</w:t>
      </w:r>
      <w:r w:rsidR="00A71FC2" w:rsidRPr="00A34A05">
        <w:rPr>
          <w:sz w:val="28"/>
          <w:szCs w:val="28"/>
        </w:rPr>
        <w:t xml:space="preserve"> </w:t>
      </w:r>
    </w:p>
    <w:p w14:paraId="1F78C7DC" w14:textId="134755B8" w:rsidR="00043529" w:rsidRDefault="00043529" w:rsidP="00043529">
      <w:pPr>
        <w:rPr>
          <w:sz w:val="28"/>
          <w:szCs w:val="28"/>
        </w:rPr>
      </w:pPr>
      <w:r w:rsidRPr="00A34A05">
        <w:rPr>
          <w:sz w:val="28"/>
          <w:szCs w:val="28"/>
        </w:rPr>
        <w:t>5. Control posterior: el Ayuntamiento comprobar</w:t>
      </w:r>
      <w:r w:rsidR="00F61203" w:rsidRPr="00A34A05">
        <w:rPr>
          <w:sz w:val="28"/>
          <w:szCs w:val="28"/>
        </w:rPr>
        <w:t>á</w:t>
      </w:r>
      <w:r w:rsidRPr="00A34A05">
        <w:rPr>
          <w:sz w:val="28"/>
          <w:szCs w:val="28"/>
        </w:rPr>
        <w:t xml:space="preserve"> la legalidad</w:t>
      </w:r>
      <w:r w:rsidR="00A71FC2" w:rsidRPr="00A34A05">
        <w:rPr>
          <w:sz w:val="28"/>
          <w:szCs w:val="28"/>
        </w:rPr>
        <w:t xml:space="preserve"> mediante visita de inspección por </w:t>
      </w:r>
      <w:r w:rsidR="00A34A05" w:rsidRPr="00A34A05">
        <w:rPr>
          <w:sz w:val="28"/>
          <w:szCs w:val="28"/>
        </w:rPr>
        <w:t>técnico y</w:t>
      </w:r>
      <w:r w:rsidR="00F61203" w:rsidRPr="00A34A05">
        <w:rPr>
          <w:sz w:val="28"/>
          <w:szCs w:val="28"/>
        </w:rPr>
        <w:t xml:space="preserve"> </w:t>
      </w:r>
      <w:r w:rsidR="00A34A05" w:rsidRPr="00A34A05">
        <w:rPr>
          <w:sz w:val="28"/>
          <w:szCs w:val="28"/>
        </w:rPr>
        <w:t>podrá suspender</w:t>
      </w:r>
      <w:r w:rsidRPr="00A34A05">
        <w:rPr>
          <w:sz w:val="28"/>
          <w:szCs w:val="28"/>
        </w:rPr>
        <w:t xml:space="preserve"> o sancionar en caso de incumplimientos.</w:t>
      </w:r>
    </w:p>
    <w:p w14:paraId="32B02F90" w14:textId="77777777" w:rsidR="00DA2904" w:rsidRPr="00A34A05" w:rsidRDefault="00DA2904" w:rsidP="00043529">
      <w:pPr>
        <w:rPr>
          <w:sz w:val="28"/>
          <w:szCs w:val="28"/>
        </w:rPr>
      </w:pPr>
    </w:p>
    <w:p w14:paraId="77980A07" w14:textId="59137F28" w:rsidR="00043529" w:rsidRPr="00A34A05" w:rsidRDefault="00A71FC2" w:rsidP="00043529">
      <w:pPr>
        <w:rPr>
          <w:b/>
          <w:bCs/>
          <w:sz w:val="28"/>
          <w:szCs w:val="28"/>
        </w:rPr>
      </w:pPr>
      <w:r w:rsidRPr="00A34A05">
        <w:rPr>
          <w:b/>
          <w:bCs/>
          <w:sz w:val="28"/>
          <w:szCs w:val="28"/>
        </w:rPr>
        <w:t>4.-</w:t>
      </w:r>
      <w:r w:rsidR="00043529" w:rsidRPr="00A34A05">
        <w:rPr>
          <w:b/>
          <w:bCs/>
          <w:sz w:val="28"/>
          <w:szCs w:val="28"/>
        </w:rPr>
        <w:t>Limitaciones</w:t>
      </w:r>
    </w:p>
    <w:p w14:paraId="44E69FB9" w14:textId="2C1D783D" w:rsidR="005F2A79" w:rsidRDefault="00043529" w:rsidP="00043529">
      <w:pPr>
        <w:rPr>
          <w:sz w:val="28"/>
          <w:szCs w:val="28"/>
        </w:rPr>
      </w:pPr>
      <w:r w:rsidRPr="00A34A05">
        <w:rPr>
          <w:sz w:val="28"/>
          <w:szCs w:val="28"/>
        </w:rPr>
        <w:t>No pueden tramitarse mediante comunicación previa aquellas obras que alteren volumetría, fachada, uso del edificio, sistema estructural, ni las que tengan impacto sobre el patrimonio histórico-artístico. En estos casos se requiere licencia urbanística.</w:t>
      </w:r>
    </w:p>
    <w:p w14:paraId="019A763C" w14:textId="77777777" w:rsidR="00DA2904" w:rsidRPr="00A34A05" w:rsidRDefault="00DA2904" w:rsidP="00043529">
      <w:pPr>
        <w:rPr>
          <w:sz w:val="28"/>
          <w:szCs w:val="28"/>
        </w:rPr>
      </w:pPr>
      <w:bookmarkStart w:id="0" w:name="_GoBack"/>
      <w:bookmarkEnd w:id="0"/>
    </w:p>
    <w:p w14:paraId="4EF99E7B" w14:textId="1349C147" w:rsidR="00F61203" w:rsidRPr="00A34A05" w:rsidRDefault="00F61203" w:rsidP="00043529">
      <w:pPr>
        <w:rPr>
          <w:sz w:val="28"/>
          <w:szCs w:val="28"/>
        </w:rPr>
      </w:pPr>
      <w:r w:rsidRPr="00A34A05">
        <w:rPr>
          <w:b/>
          <w:bCs/>
          <w:sz w:val="28"/>
          <w:szCs w:val="28"/>
        </w:rPr>
        <w:t>Sanciones:</w:t>
      </w:r>
      <w:r w:rsidRPr="00A34A05">
        <w:rPr>
          <w:sz w:val="28"/>
          <w:szCs w:val="28"/>
        </w:rPr>
        <w:t xml:space="preserve">  El Ayuntamiento de Navaconcejo ha delegado la competencia de disciplina urbanística en la Diputación de Cáceres.  Una vez constatado un incumplimiento se remitirá a Diputación para que </w:t>
      </w:r>
      <w:r w:rsidR="00A71FC2" w:rsidRPr="00A34A05">
        <w:rPr>
          <w:sz w:val="28"/>
          <w:szCs w:val="28"/>
        </w:rPr>
        <w:t>actúe y</w:t>
      </w:r>
      <w:r w:rsidRPr="00A34A05">
        <w:rPr>
          <w:sz w:val="28"/>
          <w:szCs w:val="28"/>
        </w:rPr>
        <w:t xml:space="preserve"> en su caso sancione con multas que pueden alcanzar el importe de 150.000,00€.</w:t>
      </w:r>
    </w:p>
    <w:sectPr w:rsidR="00F61203" w:rsidRPr="00A34A0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77343" w14:textId="77777777" w:rsidR="007B72D1" w:rsidRDefault="007B72D1" w:rsidP="00A71FC2">
      <w:pPr>
        <w:spacing w:after="0" w:line="240" w:lineRule="auto"/>
      </w:pPr>
      <w:r>
        <w:separator/>
      </w:r>
    </w:p>
  </w:endnote>
  <w:endnote w:type="continuationSeparator" w:id="0">
    <w:p w14:paraId="1F9022FB" w14:textId="77777777" w:rsidR="007B72D1" w:rsidRDefault="007B72D1" w:rsidP="00A7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95F41" w14:textId="77777777" w:rsidR="007B72D1" w:rsidRDefault="007B72D1" w:rsidP="00A71FC2">
      <w:pPr>
        <w:spacing w:after="0" w:line="240" w:lineRule="auto"/>
      </w:pPr>
      <w:r>
        <w:separator/>
      </w:r>
    </w:p>
  </w:footnote>
  <w:footnote w:type="continuationSeparator" w:id="0">
    <w:p w14:paraId="3EC34244" w14:textId="77777777" w:rsidR="007B72D1" w:rsidRDefault="007B72D1" w:rsidP="00A71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A0B63" w14:textId="54F61F38" w:rsidR="00A71FC2" w:rsidRDefault="00A71FC2" w:rsidP="00A71FC2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21A19F41" wp14:editId="2F0AF740">
          <wp:extent cx="533400" cy="941294"/>
          <wp:effectExtent l="0" t="0" r="0" b="0"/>
          <wp:docPr id="1130479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026" cy="944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8F235" w14:textId="083CE1C3" w:rsidR="00A71FC2" w:rsidRPr="00A71FC2" w:rsidRDefault="00A71FC2" w:rsidP="00A71FC2">
    <w:pPr>
      <w:pStyle w:val="Encabezado"/>
      <w:jc w:val="center"/>
      <w:rPr>
        <w:b/>
        <w:bCs/>
      </w:rPr>
    </w:pPr>
    <w:r w:rsidRPr="00A71FC2">
      <w:rPr>
        <w:b/>
        <w:bCs/>
      </w:rPr>
      <w:t>AYUNTAMIENTO DE NAVACONCEJO</w:t>
    </w:r>
  </w:p>
  <w:p w14:paraId="2D5722AE" w14:textId="7DF17B51" w:rsidR="00A71FC2" w:rsidRPr="00A71FC2" w:rsidRDefault="00A71FC2" w:rsidP="00A71FC2">
    <w:pPr>
      <w:pStyle w:val="Encabezado"/>
      <w:jc w:val="center"/>
      <w:rPr>
        <w:b/>
        <w:bCs/>
      </w:rPr>
    </w:pPr>
    <w:r w:rsidRPr="00A71FC2">
      <w:rPr>
        <w:b/>
        <w:bCs/>
      </w:rPr>
      <w:t>-CÁCERES</w:t>
    </w:r>
  </w:p>
  <w:p w14:paraId="0760325A" w14:textId="77777777" w:rsidR="00A71FC2" w:rsidRDefault="00A71F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79"/>
    <w:rsid w:val="00010D75"/>
    <w:rsid w:val="00043529"/>
    <w:rsid w:val="00073783"/>
    <w:rsid w:val="00245D87"/>
    <w:rsid w:val="00454768"/>
    <w:rsid w:val="005F2474"/>
    <w:rsid w:val="005F2A79"/>
    <w:rsid w:val="00635258"/>
    <w:rsid w:val="006642F7"/>
    <w:rsid w:val="00763A20"/>
    <w:rsid w:val="007B72D1"/>
    <w:rsid w:val="00882E54"/>
    <w:rsid w:val="00926D51"/>
    <w:rsid w:val="00A14B28"/>
    <w:rsid w:val="00A34A05"/>
    <w:rsid w:val="00A71FC2"/>
    <w:rsid w:val="00D370AC"/>
    <w:rsid w:val="00DA2904"/>
    <w:rsid w:val="00F6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3277"/>
  <w15:chartTrackingRefBased/>
  <w15:docId w15:val="{B4568EB8-43DA-4995-8458-A970804B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2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2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2A7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2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2A7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2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2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2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2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2A7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2A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2A7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2A79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2A79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2A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2A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2A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2A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2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2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2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2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2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2A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2A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2A79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2A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2A79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2A79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71F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FC2"/>
  </w:style>
  <w:style w:type="paragraph" w:styleId="Piedepgina">
    <w:name w:val="footer"/>
    <w:basedOn w:val="Normal"/>
    <w:link w:val="PiedepginaCar"/>
    <w:uiPriority w:val="99"/>
    <w:unhideWhenUsed/>
    <w:rsid w:val="00A71F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Robledo Navais</dc:creator>
  <cp:keywords/>
  <dc:description/>
  <cp:lastModifiedBy>Auxiliar2</cp:lastModifiedBy>
  <cp:revision>2</cp:revision>
  <cp:lastPrinted>2025-10-01T11:26:00Z</cp:lastPrinted>
  <dcterms:created xsi:type="dcterms:W3CDTF">2025-10-01T11:52:00Z</dcterms:created>
  <dcterms:modified xsi:type="dcterms:W3CDTF">2025-10-01T11:52:00Z</dcterms:modified>
</cp:coreProperties>
</file>