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F" w:rsidRPr="00200ABF" w:rsidRDefault="00200ABF" w:rsidP="00200ABF">
      <w:pPr>
        <w:pStyle w:val="Ttulo1"/>
        <w:keepLines/>
        <w:tabs>
          <w:tab w:val="left" w:pos="2655"/>
        </w:tabs>
        <w:spacing w:before="40" w:after="40"/>
        <w:rPr>
          <w:rFonts w:asciiTheme="minorHAnsi" w:eastAsia="Calibri" w:hAnsiTheme="minorHAnsi" w:cstheme="minorHAnsi"/>
          <w:b w:val="0"/>
          <w:bCs w:val="0"/>
          <w:smallCaps/>
          <w:sz w:val="32"/>
          <w:szCs w:val="40"/>
          <w:lang w:eastAsia="en-US"/>
        </w:rPr>
      </w:pPr>
      <w:r w:rsidRPr="00200ABF">
        <w:rPr>
          <w:rFonts w:asciiTheme="minorHAnsi" w:eastAsia="Calibri" w:hAnsiTheme="minorHAnsi" w:cstheme="minorHAnsi"/>
          <w:b w:val="0"/>
          <w:bCs w:val="0"/>
          <w:smallCaps/>
          <w:sz w:val="32"/>
          <w:szCs w:val="40"/>
          <w:lang w:eastAsia="en-US"/>
        </w:rPr>
        <w:t>MANCOMUNIDAD DE AGUAS DEL AYUELA</w:t>
      </w:r>
    </w:p>
    <w:p w:rsidR="00200ABF" w:rsidRDefault="00200ABF" w:rsidP="00200ABF">
      <w:pPr>
        <w:spacing w:before="40" w:after="40"/>
        <w:jc w:val="center"/>
        <w:rPr>
          <w:rFonts w:asciiTheme="minorHAnsi" w:eastAsia="Calibri" w:hAnsiTheme="minorHAnsi" w:cstheme="minorHAnsi"/>
          <w:lang w:eastAsia="en-US"/>
        </w:rPr>
      </w:pPr>
      <w:r w:rsidRPr="00200ABF">
        <w:rPr>
          <w:rFonts w:asciiTheme="minorHAnsi" w:eastAsia="Calibri" w:hAnsiTheme="minorHAnsi" w:cstheme="minorHAnsi"/>
          <w:lang w:eastAsia="en-US"/>
        </w:rPr>
        <w:t>Plaza de España, 1</w:t>
      </w:r>
    </w:p>
    <w:p w:rsidR="00200ABF" w:rsidRDefault="00200ABF" w:rsidP="00200ABF">
      <w:pPr>
        <w:spacing w:before="40" w:after="40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10.160, </w:t>
      </w:r>
      <w:r w:rsidRPr="00200ABF">
        <w:rPr>
          <w:rFonts w:asciiTheme="minorHAnsi" w:eastAsia="Calibri" w:hAnsiTheme="minorHAnsi" w:cstheme="minorHAnsi"/>
          <w:lang w:eastAsia="en-US"/>
        </w:rPr>
        <w:t>Alcuéscar</w:t>
      </w:r>
      <w:r>
        <w:rPr>
          <w:rFonts w:asciiTheme="minorHAnsi" w:eastAsia="Calibri" w:hAnsiTheme="minorHAnsi" w:cstheme="minorHAnsi"/>
          <w:lang w:eastAsia="en-US"/>
        </w:rPr>
        <w:t xml:space="preserve"> (</w:t>
      </w:r>
      <w:r w:rsidRPr="00200ABF">
        <w:rPr>
          <w:rFonts w:asciiTheme="minorHAnsi" w:eastAsia="Calibri" w:hAnsiTheme="minorHAnsi" w:cstheme="minorHAnsi"/>
          <w:lang w:eastAsia="en-US"/>
        </w:rPr>
        <w:t>Cáceres</w:t>
      </w:r>
      <w:r>
        <w:rPr>
          <w:rFonts w:asciiTheme="minorHAnsi" w:eastAsia="Calibri" w:hAnsiTheme="minorHAnsi" w:cstheme="minorHAnsi"/>
          <w:lang w:eastAsia="en-US"/>
        </w:rPr>
        <w:t>)</w:t>
      </w:r>
    </w:p>
    <w:p w:rsidR="00F103A4" w:rsidRPr="00F103A4" w:rsidRDefault="00F103A4" w:rsidP="00E84DC0">
      <w:pPr>
        <w:spacing w:before="40" w:after="4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92585" w:rsidRPr="00E84DC0" w:rsidRDefault="0001200F" w:rsidP="00E84DC0">
      <w:pPr>
        <w:pStyle w:val="Ttulo1"/>
        <w:keepLines/>
        <w:tabs>
          <w:tab w:val="left" w:pos="2655"/>
        </w:tabs>
        <w:spacing w:before="120" w:after="240" w:line="276" w:lineRule="auto"/>
        <w:rPr>
          <w:rFonts w:asciiTheme="minorHAnsi" w:eastAsia="Calibri" w:hAnsiTheme="minorHAnsi" w:cstheme="minorHAnsi"/>
          <w:sz w:val="10"/>
          <w:szCs w:val="14"/>
          <w:lang w:eastAsia="en-US"/>
        </w:rPr>
      </w:pPr>
      <w:r w:rsidRPr="00F103A4">
        <w:rPr>
          <w:rFonts w:asciiTheme="minorHAnsi" w:eastAsia="Calibri" w:hAnsiTheme="minorHAnsi" w:cstheme="minorHAnsi"/>
          <w:smallCaps/>
          <w:szCs w:val="32"/>
          <w:u w:val="single"/>
          <w:lang w:eastAsia="en-US"/>
        </w:rPr>
        <w:t>NOTA INFORMATIVA A LOS ABONADO</w:t>
      </w:r>
      <w:r w:rsidR="00A37ABB" w:rsidRPr="00F103A4">
        <w:rPr>
          <w:rFonts w:asciiTheme="minorHAnsi" w:eastAsia="Calibri" w:hAnsiTheme="minorHAnsi" w:cstheme="minorHAnsi"/>
          <w:smallCaps/>
          <w:szCs w:val="32"/>
          <w:u w:val="single"/>
          <w:lang w:eastAsia="en-US"/>
        </w:rPr>
        <w:t>S</w:t>
      </w:r>
      <w:r w:rsidRPr="00F103A4">
        <w:rPr>
          <w:rFonts w:asciiTheme="minorHAnsi" w:eastAsia="Calibri" w:hAnsiTheme="minorHAnsi" w:cstheme="minorHAnsi"/>
          <w:smallCaps/>
          <w:szCs w:val="32"/>
          <w:u w:val="single"/>
          <w:lang w:eastAsia="en-US"/>
        </w:rPr>
        <w:t xml:space="preserve"> DE LA MANCOMUNIDAD DE AGUAS DEL AYUELA</w:t>
      </w:r>
    </w:p>
    <w:p w:rsidR="0001200F" w:rsidRPr="00F103A4" w:rsidRDefault="0001200F" w:rsidP="00250712">
      <w:pPr>
        <w:pStyle w:val="Textoindependiente"/>
        <w:kinsoku w:val="0"/>
        <w:overflowPunct w:val="0"/>
        <w:spacing w:before="75" w:line="276" w:lineRule="auto"/>
        <w:jc w:val="both"/>
        <w:rPr>
          <w:rFonts w:ascii="Ebrima" w:hAnsi="Ebrima"/>
          <w:sz w:val="28"/>
          <w:szCs w:val="28"/>
          <w:lang w:val="es-ES_tradnl"/>
        </w:rPr>
      </w:pPr>
      <w:r w:rsidRPr="00F103A4">
        <w:rPr>
          <w:rFonts w:ascii="Ebrima" w:hAnsi="Ebrima"/>
          <w:sz w:val="28"/>
          <w:szCs w:val="28"/>
          <w:lang w:val="es-ES_tradnl"/>
        </w:rPr>
        <w:t>La situación hídrica de los embalses que abastecen a los municipios de la Mancomunidad de Aguas del Ayuela se encuentran en ALERTA HÍDRICA. El año hidrológico no ha permitido la recuperación de las reservas existentes con las suficientes garantías.</w:t>
      </w:r>
    </w:p>
    <w:p w:rsidR="0001200F" w:rsidRPr="00F103A4" w:rsidRDefault="0001200F" w:rsidP="00250712">
      <w:pPr>
        <w:pStyle w:val="Textoindependiente"/>
        <w:kinsoku w:val="0"/>
        <w:overflowPunct w:val="0"/>
        <w:spacing w:before="75" w:line="276" w:lineRule="auto"/>
        <w:jc w:val="both"/>
        <w:rPr>
          <w:rFonts w:ascii="Ebrima" w:hAnsi="Ebrima"/>
          <w:sz w:val="28"/>
          <w:szCs w:val="28"/>
          <w:lang w:val="es-ES_tradnl"/>
        </w:rPr>
      </w:pPr>
      <w:r w:rsidRPr="00F103A4">
        <w:rPr>
          <w:rFonts w:ascii="Ebrima" w:hAnsi="Ebrima"/>
          <w:sz w:val="28"/>
          <w:szCs w:val="28"/>
          <w:lang w:val="es-ES_tradnl"/>
        </w:rPr>
        <w:t>Por lo tanto se comunica a la población que es necesario extremar el cuidado con los consumos irresponsables del agua potable de las redes municipales.</w:t>
      </w:r>
    </w:p>
    <w:p w:rsidR="0001200F" w:rsidRPr="00F103A4" w:rsidRDefault="0001200F" w:rsidP="00250712">
      <w:pPr>
        <w:pStyle w:val="Textoindependiente"/>
        <w:kinsoku w:val="0"/>
        <w:overflowPunct w:val="0"/>
        <w:spacing w:before="75" w:line="276" w:lineRule="auto"/>
        <w:jc w:val="both"/>
        <w:rPr>
          <w:rFonts w:ascii="Ebrima" w:hAnsi="Ebrima"/>
          <w:sz w:val="28"/>
          <w:szCs w:val="28"/>
          <w:lang w:val="es-ES_tradnl"/>
        </w:rPr>
      </w:pPr>
      <w:r w:rsidRPr="00F103A4">
        <w:rPr>
          <w:rFonts w:ascii="Ebrima" w:hAnsi="Ebrima"/>
          <w:sz w:val="28"/>
          <w:szCs w:val="28"/>
          <w:lang w:val="es-ES_tradnl"/>
        </w:rPr>
        <w:t>El uso prioritario del agua potable es el Consumo Humano, entendiendo por este, el uso dentro de los domicilios</w:t>
      </w:r>
      <w:r w:rsidR="00A37ABB" w:rsidRPr="00F103A4">
        <w:rPr>
          <w:rFonts w:ascii="Ebrima" w:hAnsi="Ebrima"/>
          <w:sz w:val="28"/>
          <w:szCs w:val="28"/>
          <w:lang w:val="es-ES_tradnl"/>
        </w:rPr>
        <w:t xml:space="preserve"> para la actividades de consumo, limpieza, preparación de alimentos, riego mínimo necesario para plantas ornamentales y salubridad general</w:t>
      </w:r>
      <w:r w:rsidRPr="00F103A4">
        <w:rPr>
          <w:rFonts w:ascii="Ebrima" w:hAnsi="Ebrima"/>
          <w:sz w:val="28"/>
          <w:szCs w:val="28"/>
          <w:lang w:val="es-ES_tradnl"/>
        </w:rPr>
        <w:t>.</w:t>
      </w:r>
    </w:p>
    <w:p w:rsidR="0001200F" w:rsidRPr="00F103A4" w:rsidRDefault="0001200F" w:rsidP="00250712">
      <w:pPr>
        <w:pStyle w:val="Textoindependiente"/>
        <w:kinsoku w:val="0"/>
        <w:overflowPunct w:val="0"/>
        <w:spacing w:before="75" w:line="276" w:lineRule="auto"/>
        <w:jc w:val="both"/>
        <w:rPr>
          <w:rFonts w:ascii="Ebrima" w:hAnsi="Ebrima"/>
          <w:sz w:val="28"/>
          <w:szCs w:val="28"/>
          <w:lang w:val="es-ES_tradnl"/>
        </w:rPr>
      </w:pPr>
      <w:r w:rsidRPr="00F103A4">
        <w:rPr>
          <w:rFonts w:ascii="Ebrima" w:hAnsi="Ebrima"/>
          <w:sz w:val="28"/>
          <w:szCs w:val="28"/>
          <w:lang w:val="es-ES_tradnl"/>
        </w:rPr>
        <w:t xml:space="preserve">Queda prohibido </w:t>
      </w:r>
      <w:r w:rsidR="00A37ABB" w:rsidRPr="00F103A4">
        <w:rPr>
          <w:rFonts w:ascii="Ebrima" w:hAnsi="Ebrima"/>
          <w:sz w:val="28"/>
          <w:szCs w:val="28"/>
          <w:lang w:val="es-ES_tradnl"/>
        </w:rPr>
        <w:t>el uso del agua de la red general para los siguientes usos:</w:t>
      </w:r>
    </w:p>
    <w:p w:rsidR="00A37ABB" w:rsidRPr="00F103A4" w:rsidRDefault="00A37ABB" w:rsidP="00A37ABB">
      <w:pPr>
        <w:pStyle w:val="Textoindependiente"/>
        <w:numPr>
          <w:ilvl w:val="0"/>
          <w:numId w:val="3"/>
        </w:numPr>
        <w:kinsoku w:val="0"/>
        <w:overflowPunct w:val="0"/>
        <w:spacing w:before="75" w:line="276" w:lineRule="auto"/>
        <w:jc w:val="both"/>
        <w:rPr>
          <w:rFonts w:ascii="Ebrima" w:hAnsi="Ebrima"/>
          <w:sz w:val="28"/>
          <w:szCs w:val="28"/>
          <w:lang w:val="es-ES_tradnl"/>
        </w:rPr>
      </w:pPr>
      <w:r w:rsidRPr="00F103A4">
        <w:rPr>
          <w:rFonts w:ascii="Ebrima" w:hAnsi="Ebrima"/>
          <w:sz w:val="28"/>
          <w:szCs w:val="28"/>
          <w:lang w:val="es-ES_tradnl"/>
        </w:rPr>
        <w:t>Riego de huertas</w:t>
      </w:r>
      <w:r w:rsidR="00F103A4" w:rsidRPr="00F103A4">
        <w:rPr>
          <w:rFonts w:ascii="Ebrima" w:hAnsi="Ebrima"/>
          <w:sz w:val="28"/>
          <w:szCs w:val="28"/>
          <w:lang w:val="es-ES_tradnl"/>
        </w:rPr>
        <w:t>,</w:t>
      </w:r>
      <w:r w:rsidRPr="00F103A4">
        <w:rPr>
          <w:rFonts w:ascii="Ebrima" w:hAnsi="Ebrima"/>
          <w:sz w:val="28"/>
          <w:szCs w:val="28"/>
          <w:lang w:val="es-ES_tradnl"/>
        </w:rPr>
        <w:t xml:space="preserve"> parcelas de cultivos</w:t>
      </w:r>
      <w:r w:rsidR="00F103A4" w:rsidRPr="00F103A4">
        <w:rPr>
          <w:rFonts w:ascii="Ebrima" w:hAnsi="Ebrima"/>
          <w:sz w:val="28"/>
          <w:szCs w:val="28"/>
          <w:lang w:val="es-ES_tradnl"/>
        </w:rPr>
        <w:t xml:space="preserve"> y</w:t>
      </w:r>
      <w:r w:rsidR="00F103A4">
        <w:rPr>
          <w:rFonts w:ascii="Ebrima" w:hAnsi="Ebrima"/>
          <w:sz w:val="28"/>
          <w:szCs w:val="28"/>
          <w:lang w:val="es-ES_tradnl"/>
        </w:rPr>
        <w:t xml:space="preserve"> a</w:t>
      </w:r>
      <w:r w:rsidRPr="00F103A4">
        <w:rPr>
          <w:rFonts w:ascii="Ebrima" w:hAnsi="Ebrima"/>
          <w:sz w:val="28"/>
          <w:szCs w:val="28"/>
          <w:lang w:val="es-ES_tradnl"/>
        </w:rPr>
        <w:t>brevado de animales, salvo mascotas.</w:t>
      </w:r>
    </w:p>
    <w:p w:rsidR="00A37ABB" w:rsidRPr="00F103A4" w:rsidRDefault="00A37ABB" w:rsidP="00A37ABB">
      <w:pPr>
        <w:pStyle w:val="Textoindependiente"/>
        <w:numPr>
          <w:ilvl w:val="0"/>
          <w:numId w:val="3"/>
        </w:numPr>
        <w:kinsoku w:val="0"/>
        <w:overflowPunct w:val="0"/>
        <w:spacing w:before="75" w:line="276" w:lineRule="auto"/>
        <w:jc w:val="both"/>
        <w:rPr>
          <w:rFonts w:ascii="Ebrima" w:hAnsi="Ebrima"/>
          <w:sz w:val="28"/>
          <w:szCs w:val="28"/>
          <w:lang w:val="es-ES_tradnl"/>
        </w:rPr>
      </w:pPr>
      <w:r w:rsidRPr="00F103A4">
        <w:rPr>
          <w:rFonts w:ascii="Ebrima" w:hAnsi="Ebrima"/>
          <w:sz w:val="28"/>
          <w:szCs w:val="28"/>
          <w:lang w:val="es-ES_tradnl"/>
        </w:rPr>
        <w:t>Uso del agua de la red, ya sea de la propia vivienda como de fuentes públicas, para el llenado de depósitos y cisternas con fines de uso ganadero y/o agrícola.</w:t>
      </w:r>
    </w:p>
    <w:p w:rsidR="00F103A4" w:rsidRPr="00E84DC0" w:rsidRDefault="00A37ABB" w:rsidP="00E84DC0">
      <w:pPr>
        <w:pStyle w:val="Textoindependiente"/>
        <w:numPr>
          <w:ilvl w:val="0"/>
          <w:numId w:val="3"/>
        </w:numPr>
        <w:kinsoku w:val="0"/>
        <w:overflowPunct w:val="0"/>
        <w:spacing w:before="75" w:line="276" w:lineRule="auto"/>
        <w:jc w:val="both"/>
        <w:rPr>
          <w:rFonts w:ascii="Ebrima" w:hAnsi="Ebrima"/>
          <w:sz w:val="28"/>
          <w:szCs w:val="28"/>
          <w:lang w:val="es-ES_tradnl"/>
        </w:rPr>
      </w:pPr>
      <w:r w:rsidRPr="00F103A4">
        <w:rPr>
          <w:rFonts w:ascii="Ebrima" w:hAnsi="Ebrima"/>
          <w:sz w:val="28"/>
          <w:szCs w:val="28"/>
          <w:lang w:val="es-ES_tradnl"/>
        </w:rPr>
        <w:t>Limpieza de vehículos, baldeo de calles y otros usos no prioritarios.</w:t>
      </w:r>
    </w:p>
    <w:p w:rsidR="00F103A4" w:rsidRDefault="00F103A4" w:rsidP="00A37ABB">
      <w:pPr>
        <w:pStyle w:val="Textoindependiente"/>
        <w:kinsoku w:val="0"/>
        <w:overflowPunct w:val="0"/>
        <w:spacing w:before="75" w:line="276" w:lineRule="auto"/>
        <w:ind w:left="0" w:firstLine="0"/>
        <w:jc w:val="both"/>
        <w:rPr>
          <w:rFonts w:ascii="Ebrima" w:hAnsi="Ebrima"/>
          <w:sz w:val="28"/>
          <w:szCs w:val="28"/>
          <w:lang w:val="es-ES_tradnl"/>
        </w:rPr>
      </w:pPr>
      <w:r>
        <w:rPr>
          <w:rFonts w:ascii="Ebrima" w:hAnsi="Ebrima"/>
          <w:sz w:val="28"/>
          <w:szCs w:val="28"/>
          <w:lang w:val="es-ES_tradnl"/>
        </w:rPr>
        <w:t>Se ruega se comuniquen las incidencias y los posibles usos fraudulentos a la empresa gestora, Ambling, 630 37 95 75  // 927 12 00 27  // ayuela@ambling.es</w:t>
      </w:r>
    </w:p>
    <w:p w:rsidR="00F103A4" w:rsidRDefault="00F103A4" w:rsidP="00F103A4">
      <w:pPr>
        <w:pStyle w:val="Textoindependiente"/>
        <w:kinsoku w:val="0"/>
        <w:overflowPunct w:val="0"/>
        <w:spacing w:before="75"/>
        <w:ind w:left="0" w:firstLine="0"/>
        <w:jc w:val="both"/>
        <w:rPr>
          <w:rFonts w:ascii="Ebrima" w:hAnsi="Ebrima"/>
          <w:sz w:val="28"/>
          <w:szCs w:val="28"/>
          <w:lang w:val="es-ES_tradnl"/>
        </w:rPr>
      </w:pPr>
    </w:p>
    <w:p w:rsidR="00A37ABB" w:rsidRDefault="00A37ABB" w:rsidP="00A37ABB">
      <w:pPr>
        <w:pStyle w:val="Textoindependiente"/>
        <w:kinsoku w:val="0"/>
        <w:overflowPunct w:val="0"/>
        <w:spacing w:before="75" w:line="276" w:lineRule="auto"/>
        <w:ind w:left="0" w:firstLine="0"/>
        <w:jc w:val="both"/>
        <w:rPr>
          <w:rFonts w:ascii="Ebrima" w:hAnsi="Ebrima"/>
          <w:sz w:val="28"/>
          <w:szCs w:val="28"/>
          <w:lang w:val="es-ES_tradnl"/>
        </w:rPr>
      </w:pPr>
      <w:r w:rsidRPr="00F103A4">
        <w:rPr>
          <w:rFonts w:ascii="Ebrima" w:hAnsi="Ebrima"/>
          <w:sz w:val="28"/>
          <w:szCs w:val="28"/>
          <w:lang w:val="es-ES_tradnl"/>
        </w:rPr>
        <w:t>Es necesario la colaboración de todos para conseguir la sostenibilidad de los recursos de los que disponemos.</w:t>
      </w:r>
    </w:p>
    <w:p w:rsidR="00F103A4" w:rsidRDefault="00F103A4" w:rsidP="00A37ABB">
      <w:pPr>
        <w:pStyle w:val="Textoindependiente"/>
        <w:kinsoku w:val="0"/>
        <w:overflowPunct w:val="0"/>
        <w:spacing w:before="75" w:line="276" w:lineRule="auto"/>
        <w:ind w:left="0" w:firstLine="0"/>
        <w:jc w:val="both"/>
        <w:rPr>
          <w:rFonts w:ascii="Ebrima" w:hAnsi="Ebrima"/>
          <w:sz w:val="28"/>
          <w:szCs w:val="28"/>
          <w:lang w:val="es-ES_tradnl"/>
        </w:rPr>
      </w:pPr>
    </w:p>
    <w:p w:rsidR="00F103A4" w:rsidRPr="00F103A4" w:rsidRDefault="00F103A4" w:rsidP="00F103A4">
      <w:pPr>
        <w:pStyle w:val="Textoindependiente"/>
        <w:kinsoku w:val="0"/>
        <w:overflowPunct w:val="0"/>
        <w:spacing w:before="75" w:line="276" w:lineRule="auto"/>
        <w:ind w:left="0" w:firstLine="0"/>
        <w:jc w:val="right"/>
        <w:rPr>
          <w:rFonts w:ascii="Ebrima" w:hAnsi="Ebrima"/>
          <w:i/>
          <w:iCs/>
          <w:sz w:val="24"/>
          <w:szCs w:val="24"/>
          <w:lang w:val="es-ES_tradnl"/>
        </w:rPr>
      </w:pPr>
      <w:r w:rsidRPr="00F103A4">
        <w:rPr>
          <w:rFonts w:ascii="Ebrima" w:hAnsi="Ebrima"/>
          <w:i/>
          <w:iCs/>
          <w:sz w:val="24"/>
          <w:szCs w:val="24"/>
          <w:lang w:val="es-ES_tradnl"/>
        </w:rPr>
        <w:t>Presidencia de la Mancomunidad de Aguas del Ayuela</w:t>
      </w:r>
      <w:bookmarkStart w:id="0" w:name="_GoBack"/>
      <w:bookmarkEnd w:id="0"/>
    </w:p>
    <w:sectPr w:rsidR="00F103A4" w:rsidRPr="00F103A4" w:rsidSect="00200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13" w:rsidRDefault="00D77013" w:rsidP="00C16926">
      <w:r>
        <w:separator/>
      </w:r>
    </w:p>
  </w:endnote>
  <w:endnote w:type="continuationSeparator" w:id="1">
    <w:p w:rsidR="00D77013" w:rsidRDefault="00D77013" w:rsidP="00C1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13" w:rsidRDefault="00D77013" w:rsidP="00C16926">
      <w:r>
        <w:separator/>
      </w:r>
    </w:p>
  </w:footnote>
  <w:footnote w:type="continuationSeparator" w:id="1">
    <w:p w:rsidR="00D77013" w:rsidRDefault="00D77013" w:rsidP="00C16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3A67"/>
    <w:multiLevelType w:val="hybridMultilevel"/>
    <w:tmpl w:val="0338BED4"/>
    <w:lvl w:ilvl="0" w:tplc="1BE69E36">
      <w:numFmt w:val="bullet"/>
      <w:lvlText w:val="-"/>
      <w:lvlJc w:val="left"/>
      <w:pPr>
        <w:ind w:left="355" w:hanging="360"/>
      </w:pPr>
      <w:rPr>
        <w:rFonts w:ascii="Ebrima" w:eastAsiaTheme="minorEastAsia" w:hAnsi="Ebrima" w:cs="Arial" w:hint="default"/>
      </w:rPr>
    </w:lvl>
    <w:lvl w:ilvl="1" w:tplc="0C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>
    <w:nsid w:val="2AEA09DB"/>
    <w:multiLevelType w:val="hybridMultilevel"/>
    <w:tmpl w:val="8C6EF7C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E210DC"/>
    <w:multiLevelType w:val="hybridMultilevel"/>
    <w:tmpl w:val="E496E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042B9"/>
    <w:rsid w:val="00004364"/>
    <w:rsid w:val="0001200F"/>
    <w:rsid w:val="000447D1"/>
    <w:rsid w:val="000E5959"/>
    <w:rsid w:val="00174F3F"/>
    <w:rsid w:val="00177929"/>
    <w:rsid w:val="001E696A"/>
    <w:rsid w:val="00200993"/>
    <w:rsid w:val="00200ABF"/>
    <w:rsid w:val="00250712"/>
    <w:rsid w:val="00254619"/>
    <w:rsid w:val="00357BBB"/>
    <w:rsid w:val="00410AB8"/>
    <w:rsid w:val="004A53D8"/>
    <w:rsid w:val="005B5958"/>
    <w:rsid w:val="006039C9"/>
    <w:rsid w:val="006163D4"/>
    <w:rsid w:val="00661986"/>
    <w:rsid w:val="00770A1E"/>
    <w:rsid w:val="00792585"/>
    <w:rsid w:val="00827C37"/>
    <w:rsid w:val="00883371"/>
    <w:rsid w:val="00925B6E"/>
    <w:rsid w:val="00926DC3"/>
    <w:rsid w:val="009E2E68"/>
    <w:rsid w:val="00A042B9"/>
    <w:rsid w:val="00A374B2"/>
    <w:rsid w:val="00A37ABB"/>
    <w:rsid w:val="00A944FD"/>
    <w:rsid w:val="00AF5EA9"/>
    <w:rsid w:val="00AF6985"/>
    <w:rsid w:val="00B2220D"/>
    <w:rsid w:val="00BE2266"/>
    <w:rsid w:val="00C16926"/>
    <w:rsid w:val="00C5158D"/>
    <w:rsid w:val="00C97A3B"/>
    <w:rsid w:val="00D77013"/>
    <w:rsid w:val="00D77DF2"/>
    <w:rsid w:val="00DE7BFD"/>
    <w:rsid w:val="00E84DC0"/>
    <w:rsid w:val="00F1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16926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692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1692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16926"/>
    <w:pPr>
      <w:widowControl w:val="0"/>
      <w:autoSpaceDE w:val="0"/>
      <w:autoSpaceDN w:val="0"/>
      <w:adjustRightInd w:val="0"/>
      <w:ind w:left="147" w:hanging="5"/>
    </w:pPr>
    <w:rPr>
      <w:rFonts w:ascii="Arial" w:eastAsiaTheme="minorEastAsia" w:hAnsi="Arial" w:cs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6926"/>
    <w:rPr>
      <w:rFonts w:ascii="Arial" w:eastAsiaTheme="minorEastAsia" w:hAnsi="Arial" w:cs="Arial"/>
      <w:sz w:val="19"/>
      <w:szCs w:val="1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6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9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69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92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1692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6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E2E6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03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03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03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3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3A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8EC9-AA74-4D17-8F24-660AA931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Gcarrasco</dc:creator>
  <cp:lastModifiedBy>Biblioteca04</cp:lastModifiedBy>
  <cp:revision>3</cp:revision>
  <cp:lastPrinted>2016-03-17T15:03:00Z</cp:lastPrinted>
  <dcterms:created xsi:type="dcterms:W3CDTF">2019-07-19T07:19:00Z</dcterms:created>
  <dcterms:modified xsi:type="dcterms:W3CDTF">2019-07-19T07:35:00Z</dcterms:modified>
</cp:coreProperties>
</file>