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D" w:rsidRDefault="001E723D">
      <w:pPr>
        <w:rPr>
          <w:rFonts w:ascii="Verdana" w:hAnsi="Verdana"/>
          <w:color w:val="000000"/>
          <w:sz w:val="17"/>
          <w:szCs w:val="17"/>
        </w:rPr>
      </w:pPr>
      <w:r>
        <w:rPr>
          <w:noProof/>
          <w:lang w:eastAsia="es-ES"/>
        </w:rPr>
        <w:drawing>
          <wp:inline distT="0" distB="0" distL="0" distR="0" wp14:anchorId="3A797AD4" wp14:editId="6169EAB5">
            <wp:extent cx="5400040" cy="27927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3D" w:rsidRDefault="001E723D">
      <w:pPr>
        <w:rPr>
          <w:rFonts w:ascii="Verdana" w:hAnsi="Verdana"/>
          <w:color w:val="000000"/>
          <w:sz w:val="17"/>
          <w:szCs w:val="17"/>
        </w:rPr>
      </w:pPr>
    </w:p>
    <w:p w:rsidR="001E723D" w:rsidRDefault="001E723D" w:rsidP="001E723D">
      <w:pPr>
        <w:jc w:val="both"/>
        <w:rPr>
          <w:rFonts w:ascii="Verdana" w:hAnsi="Verdana"/>
          <w:color w:val="000000"/>
          <w:sz w:val="28"/>
          <w:szCs w:val="28"/>
        </w:rPr>
      </w:pPr>
    </w:p>
    <w:p w:rsidR="001E723D" w:rsidRDefault="001E723D" w:rsidP="001E723D">
      <w:pPr>
        <w:jc w:val="center"/>
        <w:rPr>
          <w:rFonts w:ascii="Verdana" w:hAnsi="Verdana"/>
          <w:color w:val="000000"/>
          <w:sz w:val="28"/>
          <w:szCs w:val="28"/>
        </w:rPr>
      </w:pPr>
      <w:r w:rsidRPr="001E723D">
        <w:rPr>
          <w:rFonts w:ascii="Verdana" w:hAnsi="Verdana"/>
          <w:color w:val="000000"/>
          <w:sz w:val="28"/>
          <w:szCs w:val="28"/>
        </w:rPr>
        <w:t xml:space="preserve">Garantía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Xuvenil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é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unha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iniciativa europea que pretende facilitar o acceso dos mozos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ao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mercado de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traballo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. Ten como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obxectivo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garantir que os mozos entre 16 e 29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anos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poidan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recibir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unha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oferta de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emprego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, de educación continua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ou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un período de prácticas tras acabar a educación formal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ou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 xml:space="preserve"> quedar </w:t>
      </w:r>
      <w:proofErr w:type="spellStart"/>
      <w:r w:rsidRPr="001E723D">
        <w:rPr>
          <w:rFonts w:ascii="Verdana" w:hAnsi="Verdana"/>
          <w:color w:val="000000"/>
          <w:sz w:val="28"/>
          <w:szCs w:val="28"/>
        </w:rPr>
        <w:t>desempregados</w:t>
      </w:r>
      <w:proofErr w:type="spellEnd"/>
      <w:r w:rsidRPr="001E723D">
        <w:rPr>
          <w:rFonts w:ascii="Verdana" w:hAnsi="Verdana"/>
          <w:color w:val="000000"/>
          <w:sz w:val="28"/>
          <w:szCs w:val="28"/>
        </w:rPr>
        <w:t>.</w:t>
      </w:r>
    </w:p>
    <w:p w:rsidR="001E723D" w:rsidRDefault="001E723D" w:rsidP="001E723D">
      <w:pPr>
        <w:jc w:val="center"/>
        <w:rPr>
          <w:rFonts w:ascii="Verdana" w:hAnsi="Verdana"/>
          <w:b/>
          <w:color w:val="2E74B5" w:themeColor="accent1" w:themeShade="BF"/>
          <w:sz w:val="28"/>
          <w:szCs w:val="28"/>
        </w:rPr>
      </w:pPr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</w:t>
      </w:r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Se </w:t>
      </w:r>
      <w:proofErr w:type="spellStart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>queres</w:t>
      </w:r>
      <w:proofErr w:type="spellEnd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inscribirte </w:t>
      </w:r>
      <w:proofErr w:type="spellStart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>agora</w:t>
      </w:r>
      <w:proofErr w:type="spellEnd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podes </w:t>
      </w:r>
      <w:proofErr w:type="spellStart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>facelo</w:t>
      </w:r>
      <w:proofErr w:type="spellEnd"/>
      <w:r w:rsidRPr="001E723D"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online</w:t>
      </w:r>
      <w:bookmarkStart w:id="0" w:name="_GoBack"/>
      <w:bookmarkEnd w:id="0"/>
    </w:p>
    <w:p w:rsidR="001E723D" w:rsidRDefault="001E723D" w:rsidP="001E723D">
      <w:pPr>
        <w:jc w:val="center"/>
        <w:rPr>
          <w:rFonts w:ascii="Verdana" w:hAnsi="Verdana"/>
          <w:b/>
          <w:color w:val="2E74B5" w:themeColor="accent1" w:themeShade="BF"/>
          <w:sz w:val="28"/>
          <w:szCs w:val="28"/>
        </w:rPr>
      </w:pPr>
      <w:proofErr w:type="spellStart"/>
      <w:r>
        <w:rPr>
          <w:rFonts w:ascii="Verdana" w:hAnsi="Verdana"/>
          <w:b/>
          <w:color w:val="2E74B5" w:themeColor="accent1" w:themeShade="BF"/>
          <w:sz w:val="28"/>
          <w:szCs w:val="28"/>
        </w:rPr>
        <w:t>Segue</w:t>
      </w:r>
      <w:proofErr w:type="spellEnd"/>
      <w:r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as </w:t>
      </w:r>
      <w:proofErr w:type="spellStart"/>
      <w:r>
        <w:rPr>
          <w:rFonts w:ascii="Verdana" w:hAnsi="Verdana"/>
          <w:b/>
          <w:color w:val="2E74B5" w:themeColor="accent1" w:themeShade="BF"/>
          <w:sz w:val="28"/>
          <w:szCs w:val="28"/>
        </w:rPr>
        <w:t>instruccións</w:t>
      </w:r>
      <w:proofErr w:type="spellEnd"/>
      <w:r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no </w:t>
      </w:r>
      <w:proofErr w:type="spellStart"/>
      <w:r>
        <w:rPr>
          <w:rFonts w:ascii="Verdana" w:hAnsi="Verdana"/>
          <w:b/>
          <w:color w:val="2E74B5" w:themeColor="accent1" w:themeShade="BF"/>
          <w:sz w:val="28"/>
          <w:szCs w:val="28"/>
        </w:rPr>
        <w:t>seguinte</w:t>
      </w:r>
      <w:proofErr w:type="spellEnd"/>
      <w:r>
        <w:rPr>
          <w:rFonts w:ascii="Verdana" w:hAnsi="Verdana"/>
          <w:b/>
          <w:color w:val="2E74B5" w:themeColor="accent1" w:themeShade="BF"/>
          <w:sz w:val="28"/>
          <w:szCs w:val="28"/>
        </w:rPr>
        <w:t xml:space="preserve"> link</w:t>
      </w:r>
    </w:p>
    <w:p w:rsidR="001E723D" w:rsidRPr="001E723D" w:rsidRDefault="001E723D" w:rsidP="001E723D">
      <w:pPr>
        <w:jc w:val="center"/>
        <w:rPr>
          <w:rFonts w:ascii="Verdana" w:hAnsi="Verdana"/>
          <w:b/>
          <w:color w:val="538135" w:themeColor="accent6" w:themeShade="BF"/>
          <w:sz w:val="28"/>
          <w:szCs w:val="28"/>
        </w:rPr>
      </w:pPr>
      <w:r w:rsidRPr="001E723D">
        <w:rPr>
          <w:rFonts w:ascii="Verdana" w:hAnsi="Verdana"/>
          <w:b/>
          <w:color w:val="538135" w:themeColor="accent6" w:themeShade="BF"/>
          <w:sz w:val="28"/>
          <w:szCs w:val="28"/>
        </w:rPr>
        <w:t>http://xuventude.xunta.es/component/k2/item/18612-garantia-xuvenil</w:t>
      </w:r>
    </w:p>
    <w:p w:rsidR="006605E2" w:rsidRPr="001E723D" w:rsidRDefault="006605E2" w:rsidP="001E723D">
      <w:pPr>
        <w:jc w:val="both"/>
        <w:rPr>
          <w:sz w:val="28"/>
          <w:szCs w:val="28"/>
        </w:rPr>
      </w:pPr>
    </w:p>
    <w:sectPr w:rsidR="006605E2" w:rsidRPr="001E7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D"/>
    <w:rsid w:val="001E723D"/>
    <w:rsid w:val="006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DD6"/>
  <w15:chartTrackingRefBased/>
  <w15:docId w15:val="{1A4B1DED-03DA-48B4-A300-59982DF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j.cebrian</dc:creator>
  <cp:keywords/>
  <dc:description/>
  <cp:lastModifiedBy>j.cebrian</cp:lastModifiedBy>
  <cp:revision>1</cp:revision>
  <dcterms:created xsi:type="dcterms:W3CDTF">2020-03-30T08:32:00Z</dcterms:created>
  <dcterms:modified xsi:type="dcterms:W3CDTF">2020-03-30T08:37:00Z</dcterms:modified>
</cp:coreProperties>
</file>