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2AED" w14:textId="0F64AD7D" w:rsidR="00650912" w:rsidRDefault="00385BD0" w:rsidP="00385BD0">
      <w:pPr>
        <w:jc w:val="center"/>
        <w:rPr>
          <w:b/>
          <w:bCs/>
          <w:i/>
          <w:iCs/>
          <w:sz w:val="40"/>
          <w:szCs w:val="40"/>
          <w:u w:val="single"/>
        </w:rPr>
      </w:pPr>
      <w:r w:rsidRPr="00385BD0">
        <w:rPr>
          <w:b/>
          <w:bCs/>
          <w:i/>
          <w:iCs/>
          <w:sz w:val="40"/>
          <w:szCs w:val="40"/>
          <w:u w:val="single"/>
        </w:rPr>
        <w:t>AYUNTAMIENTO CEREZO DE A</w:t>
      </w:r>
      <w:r w:rsidR="003F4BD0">
        <w:rPr>
          <w:b/>
          <w:bCs/>
          <w:i/>
          <w:iCs/>
          <w:sz w:val="40"/>
          <w:szCs w:val="40"/>
          <w:u w:val="single"/>
        </w:rPr>
        <w:t>RRIBA</w:t>
      </w:r>
    </w:p>
    <w:p w14:paraId="5E2BF53D" w14:textId="77777777" w:rsidR="00385BD0" w:rsidRDefault="00385BD0" w:rsidP="00385BD0">
      <w:pPr>
        <w:jc w:val="center"/>
        <w:rPr>
          <w:b/>
          <w:bCs/>
          <w:i/>
          <w:iCs/>
          <w:sz w:val="40"/>
          <w:szCs w:val="40"/>
          <w:u w:val="single"/>
        </w:rPr>
      </w:pPr>
    </w:p>
    <w:p w14:paraId="6544F31E" w14:textId="2B759887" w:rsidR="00385BD0" w:rsidRDefault="00385BD0" w:rsidP="00385BD0">
      <w:pPr>
        <w:jc w:val="center"/>
        <w:rPr>
          <w:b/>
          <w:bCs/>
          <w:u w:val="single"/>
        </w:rPr>
      </w:pPr>
      <w:r w:rsidRPr="00385BD0">
        <w:rPr>
          <w:b/>
          <w:bCs/>
          <w:u w:val="single"/>
        </w:rPr>
        <w:t>ELECCIONES A LAS CORTES DE CASTILA Y LEÓN DE 15 DE MARZO DE 2026</w:t>
      </w:r>
    </w:p>
    <w:p w14:paraId="1F0E47B5" w14:textId="77777777" w:rsidR="00385BD0" w:rsidRDefault="00385BD0" w:rsidP="00385BD0">
      <w:pPr>
        <w:jc w:val="center"/>
        <w:rPr>
          <w:b/>
          <w:bCs/>
          <w:u w:val="single"/>
        </w:rPr>
      </w:pPr>
    </w:p>
    <w:p w14:paraId="4AD2E8D3" w14:textId="0304C10F" w:rsidR="00385BD0" w:rsidRDefault="00385BD0" w:rsidP="00385BD0">
      <w:pPr>
        <w:jc w:val="center"/>
        <w:rPr>
          <w:b/>
          <w:bCs/>
        </w:rPr>
      </w:pPr>
      <w:r>
        <w:rPr>
          <w:b/>
          <w:bCs/>
        </w:rPr>
        <w:t>Instrucciones para los servicios de consulta</w:t>
      </w:r>
      <w:r w:rsidR="0062084B">
        <w:rPr>
          <w:b/>
          <w:bCs/>
        </w:rPr>
        <w:t xml:space="preserve"> del Censo Electoral durante</w:t>
      </w:r>
      <w:r>
        <w:rPr>
          <w:b/>
          <w:bCs/>
        </w:rPr>
        <w:t xml:space="preserve"> el periodo electoral en los ayuntamientos</w:t>
      </w:r>
      <w:r w:rsidR="0062084B">
        <w:rPr>
          <w:b/>
          <w:bCs/>
        </w:rPr>
        <w:t>.</w:t>
      </w:r>
    </w:p>
    <w:p w14:paraId="06025CF3" w14:textId="77777777" w:rsidR="0062084B" w:rsidRDefault="0062084B" w:rsidP="00385BD0">
      <w:pPr>
        <w:jc w:val="center"/>
        <w:rPr>
          <w:b/>
          <w:bCs/>
        </w:rPr>
      </w:pPr>
    </w:p>
    <w:p w14:paraId="62124BE5" w14:textId="1039E8D6" w:rsidR="0062084B" w:rsidRPr="0062084B" w:rsidRDefault="0062084B" w:rsidP="0062084B">
      <w:pPr>
        <w:jc w:val="both"/>
      </w:pPr>
      <w:r w:rsidRPr="0062084B">
        <w:t>El artículo 39.2d de la Ley Orgánica 5/1985, de 19 de junio, del Régimen General (LOREG), establece que:</w:t>
      </w:r>
    </w:p>
    <w:p w14:paraId="5AF3B5C8" w14:textId="46AE8D77" w:rsidR="00385BD0" w:rsidRDefault="0062084B" w:rsidP="0062084B">
      <w:pPr>
        <w:jc w:val="both"/>
      </w:pPr>
      <w:r>
        <w:t>Los ayuntamientos y consulados estarán obligados a mantener un servicio de consulta de las listas electorales vigentes de sus respectivos municipios y demarcaciones durante el plazo de ocho días, a partir del sexto día posterior a la convocatoria de elecciones,</w:t>
      </w:r>
    </w:p>
    <w:p w14:paraId="10C569B3" w14:textId="4DE7FCAF" w:rsidR="0062084B" w:rsidRDefault="0062084B" w:rsidP="0062084B">
      <w:pPr>
        <w:jc w:val="both"/>
      </w:pPr>
      <w:r>
        <w:t>La consulta podrá realizarse por medios informáticos, previa identificación del interesado, o mediante la exposición al público de las listas electorales, si no se cuenta con medios informáticos para ello.</w:t>
      </w:r>
    </w:p>
    <w:p w14:paraId="3AF8042B" w14:textId="47F2F2AF" w:rsidR="0062084B" w:rsidRDefault="0062084B" w:rsidP="0062084B">
      <w:pPr>
        <w:jc w:val="both"/>
        <w:rPr>
          <w:b/>
          <w:bCs/>
        </w:rPr>
      </w:pPr>
      <w:r>
        <w:t xml:space="preserve">Con motivo de la celebración de las elecciones a las Cortes de Castilla y León, convocadas para el 15de marzo de 2026, los ayuntamientos deberán mantener habilitado el servicios de consulta de las listas electorales durante el periodo comprendido entre el sexto y el decimotercer día posteriores al de la publicación de la convocatoria, ambos inclusive esto es, </w:t>
      </w:r>
      <w:r w:rsidRPr="0062084B">
        <w:rPr>
          <w:b/>
          <w:bCs/>
        </w:rPr>
        <w:t>del 26 de enero al 2 de febrero de 2026</w:t>
      </w:r>
      <w:r>
        <w:rPr>
          <w:b/>
          <w:bCs/>
        </w:rPr>
        <w:t>.</w:t>
      </w:r>
    </w:p>
    <w:p w14:paraId="73CD92C0" w14:textId="40046510" w:rsidR="00647C06" w:rsidRDefault="00647C06" w:rsidP="0062084B">
      <w:pPr>
        <w:jc w:val="both"/>
        <w:rPr>
          <w:b/>
          <w:bCs/>
        </w:rPr>
      </w:pPr>
      <w:r>
        <w:rPr>
          <w:b/>
          <w:bCs/>
        </w:rPr>
        <w:t>Normas de funcionamiento del servicios de consulta.</w:t>
      </w:r>
    </w:p>
    <w:p w14:paraId="41CA41D7" w14:textId="1FE36463" w:rsidR="00647C06" w:rsidRDefault="00647C06" w:rsidP="00647C06">
      <w:pPr>
        <w:jc w:val="both"/>
      </w:pPr>
      <w:r>
        <w:t>La consulta deberá efectuarse previa identificación del interesado.</w:t>
      </w:r>
    </w:p>
    <w:p w14:paraId="0F17F99D" w14:textId="2702F78D" w:rsidR="00647C06" w:rsidRDefault="00647C06" w:rsidP="00647C06">
      <w:pPr>
        <w:jc w:val="both"/>
      </w:pPr>
      <w:r>
        <w:t>El documento de identificación exigido será alguno de los previstos para el acto de votación en el artículo 85.1 de la LOREG, a saber:  DNI, PASAPORTTE O PERSMISO DE CONDUCIR, en el que aparezca la fotografía del titular.</w:t>
      </w:r>
    </w:p>
    <w:p w14:paraId="0399B3F8" w14:textId="77777777" w:rsidR="00647C06" w:rsidRDefault="00647C06" w:rsidP="00647C06">
      <w:pPr>
        <w:jc w:val="both"/>
        <w:rPr>
          <w:b/>
          <w:bCs/>
        </w:rPr>
      </w:pPr>
    </w:p>
    <w:p w14:paraId="35DA008D" w14:textId="79A2C9FD" w:rsidR="00385BD0" w:rsidRDefault="00647C06" w:rsidP="00647C06">
      <w:pPr>
        <w:jc w:val="both"/>
        <w:rPr>
          <w:b/>
          <w:bCs/>
        </w:rPr>
      </w:pPr>
      <w:r>
        <w:rPr>
          <w:b/>
          <w:bCs/>
        </w:rPr>
        <w:t>Reclamaciones.</w:t>
      </w:r>
    </w:p>
    <w:p w14:paraId="31FF7798" w14:textId="782783A0" w:rsidR="00647C06" w:rsidRDefault="00647C06" w:rsidP="00647C06">
      <w:pPr>
        <w:jc w:val="both"/>
      </w:pPr>
      <w:r>
        <w:t>El impreso de solicitud de reclamación deberá obtenerse en formato electrónico a través del  aplicativo IDA-CELEC.</w:t>
      </w:r>
    </w:p>
    <w:p w14:paraId="08CBC4BB" w14:textId="24F06F56" w:rsidR="007F08EB" w:rsidRDefault="007F08EB" w:rsidP="00647C06">
      <w:pPr>
        <w:jc w:val="both"/>
      </w:pPr>
      <w:r>
        <w:lastRenderedPageBreak/>
        <w:t>La Instrucción segunda de la Resolución de 27 de octubre de 2014, de la Oficina del Censo Electoral, sobre reclamaciones a los datos de inscripción en el Censo Electoral, detalla los criterios de resolución de las reclamaciones formuladas contra el censo electoral vigente para unas elecciones presentadas durante el período de consulta.</w:t>
      </w:r>
    </w:p>
    <w:p w14:paraId="179F5969" w14:textId="70F57FFC" w:rsidR="007F08EB" w:rsidRDefault="007F08EB" w:rsidP="00647C06">
      <w:pPr>
        <w:jc w:val="both"/>
        <w:rPr>
          <w:b/>
          <w:bCs/>
        </w:rPr>
      </w:pPr>
      <w:r>
        <w:t xml:space="preserve">Conforme a lo dispuesto en la Orden del Ministerio de Economía y Hacienda, de 21 de marzo de 1991, por la que se regula el proceso de reclamación administrativa en periodo electoral se especifica que dichas reclamaciones deberán tener entrada en la Delegación Provincial del la OCE antes de las doce horas del día decimocuarto posterior al de la convocatoria del proceso electoral,  esto es, </w:t>
      </w:r>
      <w:r w:rsidRPr="007F08EB">
        <w:rPr>
          <w:b/>
          <w:bCs/>
        </w:rPr>
        <w:t>el 3 de febrero de 2026.</w:t>
      </w:r>
    </w:p>
    <w:p w14:paraId="57678183" w14:textId="77777777" w:rsidR="00AA7F5E" w:rsidRPr="00AA7F5E" w:rsidRDefault="00AA7F5E" w:rsidP="00647C06">
      <w:pPr>
        <w:jc w:val="both"/>
      </w:pPr>
    </w:p>
    <w:p w14:paraId="1228E013" w14:textId="665408AC" w:rsidR="00AA7F5E" w:rsidRPr="00AA7F5E" w:rsidRDefault="00AA7F5E" w:rsidP="00AA7F5E">
      <w:pPr>
        <w:jc w:val="right"/>
      </w:pPr>
      <w:r w:rsidRPr="00AA7F5E">
        <w:t xml:space="preserve">                                                                        Cerezo de A</w:t>
      </w:r>
      <w:r w:rsidR="000C28F4">
        <w:t>rriba</w:t>
      </w:r>
      <w:r w:rsidRPr="00AA7F5E">
        <w:t xml:space="preserve"> a 21 de enero de 2026.</w:t>
      </w:r>
    </w:p>
    <w:sectPr w:rsidR="00AA7F5E" w:rsidRPr="00AA7F5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FCDC" w14:textId="77777777" w:rsidR="00F55B28" w:rsidRDefault="00F55B28" w:rsidP="00AA7F5E">
      <w:pPr>
        <w:spacing w:after="0" w:line="240" w:lineRule="auto"/>
      </w:pPr>
      <w:r>
        <w:separator/>
      </w:r>
    </w:p>
  </w:endnote>
  <w:endnote w:type="continuationSeparator" w:id="0">
    <w:p w14:paraId="1D64C822" w14:textId="77777777" w:rsidR="00F55B28" w:rsidRDefault="00F55B28" w:rsidP="00AA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0C8D" w14:textId="77777777" w:rsidR="003F4BD0" w:rsidRDefault="003F4B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2ABB" w14:textId="649A73B2" w:rsidR="00AA7F5E" w:rsidRDefault="00AA7F5E" w:rsidP="00AA7F5E">
    <w:pPr>
      <w:pStyle w:val="Piedepgina"/>
      <w:jc w:val="center"/>
    </w:pPr>
    <w:r>
      <w:t xml:space="preserve">Plaza de la </w:t>
    </w:r>
    <w:r w:rsidR="003F4BD0">
      <w:t xml:space="preserve"> Constitución </w:t>
    </w:r>
    <w:r>
      <w:t>, 1</w:t>
    </w:r>
  </w:p>
  <w:p w14:paraId="3C92CC53" w14:textId="683F66E0" w:rsidR="00AA7F5E" w:rsidRDefault="00AA7F5E" w:rsidP="00AA7F5E">
    <w:pPr>
      <w:pStyle w:val="Piedepgina"/>
      <w:jc w:val="center"/>
    </w:pPr>
    <w:r>
      <w:t>4059</w:t>
    </w:r>
    <w:r w:rsidR="003F4BD0">
      <w:t>2</w:t>
    </w:r>
    <w:r>
      <w:t xml:space="preserve"> – Cerezo de A</w:t>
    </w:r>
    <w:r w:rsidR="003F4BD0">
      <w:t>rriba</w:t>
    </w:r>
    <w:r>
      <w:t xml:space="preserve"> (Segovia)</w:t>
    </w:r>
  </w:p>
  <w:p w14:paraId="4ACC6855" w14:textId="1BF2EB1C" w:rsidR="00AA7F5E" w:rsidRDefault="00AA7F5E" w:rsidP="00AA7F5E">
    <w:pPr>
      <w:pStyle w:val="Piedepgina"/>
      <w:jc w:val="center"/>
    </w:pPr>
    <w:r>
      <w:t xml:space="preserve">Teléfono: 921 – 55 71 </w:t>
    </w:r>
    <w:r w:rsidR="003F4BD0">
      <w:t>49</w:t>
    </w:r>
    <w:r>
      <w:t xml:space="preserve"> – info@cerezod</w:t>
    </w:r>
    <w:r w:rsidR="003F4BD0">
      <w:t>earriba.es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83F7" w14:textId="77777777" w:rsidR="003F4BD0" w:rsidRDefault="003F4B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062D" w14:textId="77777777" w:rsidR="00F55B28" w:rsidRDefault="00F55B28" w:rsidP="00AA7F5E">
      <w:pPr>
        <w:spacing w:after="0" w:line="240" w:lineRule="auto"/>
      </w:pPr>
      <w:r>
        <w:separator/>
      </w:r>
    </w:p>
  </w:footnote>
  <w:footnote w:type="continuationSeparator" w:id="0">
    <w:p w14:paraId="0B458558" w14:textId="77777777" w:rsidR="00F55B28" w:rsidRDefault="00F55B28" w:rsidP="00AA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1C8A" w14:textId="77777777" w:rsidR="003F4BD0" w:rsidRDefault="003F4B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A46B" w14:textId="77777777" w:rsidR="003F4BD0" w:rsidRDefault="003F4B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9978" w14:textId="77777777" w:rsidR="003F4BD0" w:rsidRDefault="003F4B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93313"/>
    <w:multiLevelType w:val="hybridMultilevel"/>
    <w:tmpl w:val="D68AEA12"/>
    <w:lvl w:ilvl="0" w:tplc="B3BCC9E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793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D0"/>
    <w:rsid w:val="000C28F4"/>
    <w:rsid w:val="002F2F18"/>
    <w:rsid w:val="00385BD0"/>
    <w:rsid w:val="003F4BD0"/>
    <w:rsid w:val="0062084B"/>
    <w:rsid w:val="00647C06"/>
    <w:rsid w:val="00650912"/>
    <w:rsid w:val="007F08EB"/>
    <w:rsid w:val="009F01B5"/>
    <w:rsid w:val="00AA7F5E"/>
    <w:rsid w:val="00AB5382"/>
    <w:rsid w:val="00C65678"/>
    <w:rsid w:val="00CE0FCF"/>
    <w:rsid w:val="00F55B28"/>
    <w:rsid w:val="00FB02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EFD51"/>
  <w15:chartTrackingRefBased/>
  <w15:docId w15:val="{D2CD7E77-1EF1-4B37-ACF0-72394638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5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5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5B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5B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5B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5B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5B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5B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5B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5B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5B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5B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5B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5B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5B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5B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5B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5BD0"/>
    <w:rPr>
      <w:rFonts w:eastAsiaTheme="majorEastAsia" w:cstheme="majorBidi"/>
      <w:color w:val="272727" w:themeColor="text1" w:themeTint="D8"/>
    </w:rPr>
  </w:style>
  <w:style w:type="paragraph" w:styleId="Ttulo">
    <w:name w:val="Title"/>
    <w:basedOn w:val="Normal"/>
    <w:next w:val="Normal"/>
    <w:link w:val="TtuloCar"/>
    <w:uiPriority w:val="10"/>
    <w:qFormat/>
    <w:rsid w:val="00385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B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5B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5B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5BD0"/>
    <w:pPr>
      <w:spacing w:before="160"/>
      <w:jc w:val="center"/>
    </w:pPr>
    <w:rPr>
      <w:i/>
      <w:iCs/>
      <w:color w:val="404040" w:themeColor="text1" w:themeTint="BF"/>
    </w:rPr>
  </w:style>
  <w:style w:type="character" w:customStyle="1" w:styleId="CitaCar">
    <w:name w:val="Cita Car"/>
    <w:basedOn w:val="Fuentedeprrafopredeter"/>
    <w:link w:val="Cita"/>
    <w:uiPriority w:val="29"/>
    <w:rsid w:val="00385BD0"/>
    <w:rPr>
      <w:i/>
      <w:iCs/>
      <w:color w:val="404040" w:themeColor="text1" w:themeTint="BF"/>
    </w:rPr>
  </w:style>
  <w:style w:type="paragraph" w:styleId="Prrafodelista">
    <w:name w:val="List Paragraph"/>
    <w:basedOn w:val="Normal"/>
    <w:uiPriority w:val="34"/>
    <w:qFormat/>
    <w:rsid w:val="00385BD0"/>
    <w:pPr>
      <w:ind w:left="720"/>
      <w:contextualSpacing/>
    </w:pPr>
  </w:style>
  <w:style w:type="character" w:styleId="nfasisintenso">
    <w:name w:val="Intense Emphasis"/>
    <w:basedOn w:val="Fuentedeprrafopredeter"/>
    <w:uiPriority w:val="21"/>
    <w:qFormat/>
    <w:rsid w:val="00385BD0"/>
    <w:rPr>
      <w:i/>
      <w:iCs/>
      <w:color w:val="0F4761" w:themeColor="accent1" w:themeShade="BF"/>
    </w:rPr>
  </w:style>
  <w:style w:type="paragraph" w:styleId="Citadestacada">
    <w:name w:val="Intense Quote"/>
    <w:basedOn w:val="Normal"/>
    <w:next w:val="Normal"/>
    <w:link w:val="CitadestacadaCar"/>
    <w:uiPriority w:val="30"/>
    <w:qFormat/>
    <w:rsid w:val="00385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5BD0"/>
    <w:rPr>
      <w:i/>
      <w:iCs/>
      <w:color w:val="0F4761" w:themeColor="accent1" w:themeShade="BF"/>
    </w:rPr>
  </w:style>
  <w:style w:type="character" w:styleId="Referenciaintensa">
    <w:name w:val="Intense Reference"/>
    <w:basedOn w:val="Fuentedeprrafopredeter"/>
    <w:uiPriority w:val="32"/>
    <w:qFormat/>
    <w:rsid w:val="00385BD0"/>
    <w:rPr>
      <w:b/>
      <w:bCs/>
      <w:smallCaps/>
      <w:color w:val="0F4761" w:themeColor="accent1" w:themeShade="BF"/>
      <w:spacing w:val="5"/>
    </w:rPr>
  </w:style>
  <w:style w:type="paragraph" w:styleId="Encabezado">
    <w:name w:val="header"/>
    <w:basedOn w:val="Normal"/>
    <w:link w:val="EncabezadoCar"/>
    <w:uiPriority w:val="99"/>
    <w:unhideWhenUsed/>
    <w:rsid w:val="00AA7F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F5E"/>
  </w:style>
  <w:style w:type="paragraph" w:styleId="Piedepgina">
    <w:name w:val="footer"/>
    <w:basedOn w:val="Normal"/>
    <w:link w:val="PiedepginaCar"/>
    <w:uiPriority w:val="99"/>
    <w:unhideWhenUsed/>
    <w:rsid w:val="00AA7F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5068B-EAF6-4CBA-AA08-F26AD085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Cerezo de Abajo</dc:creator>
  <cp:keywords/>
  <dc:description/>
  <cp:lastModifiedBy>Ayuntamiento Cerezo de Abajo</cp:lastModifiedBy>
  <cp:revision>5</cp:revision>
  <dcterms:created xsi:type="dcterms:W3CDTF">2026-01-21T10:22:00Z</dcterms:created>
  <dcterms:modified xsi:type="dcterms:W3CDTF">2026-01-21T11:49:00Z</dcterms:modified>
</cp:coreProperties>
</file>