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B7AB" w14:textId="77777777" w:rsidR="00E27D19" w:rsidRPr="004B0965" w:rsidRDefault="00E27D19" w:rsidP="00E27D19">
      <w:pPr>
        <w:ind w:firstLine="1"/>
        <w:jc w:val="center"/>
        <w:rPr>
          <w:b/>
          <w:sz w:val="28"/>
          <w:szCs w:val="28"/>
        </w:rPr>
      </w:pPr>
      <w:r w:rsidRPr="004B0965">
        <w:rPr>
          <w:b/>
          <w:sz w:val="28"/>
          <w:szCs w:val="28"/>
        </w:rPr>
        <w:t>GRUPO DE LA ASOCIACIÓN DE COROS Y DANZAS “EXTREMADURA”  DE BADAJOZ.</w:t>
      </w:r>
    </w:p>
    <w:p w14:paraId="2F08F33D" w14:textId="77777777" w:rsidR="00E27D19" w:rsidRPr="004B0965" w:rsidRDefault="00E27D19" w:rsidP="00E27D19">
      <w:pPr>
        <w:ind w:firstLine="1"/>
        <w:jc w:val="both"/>
        <w:rPr>
          <w:sz w:val="28"/>
          <w:szCs w:val="28"/>
        </w:rPr>
      </w:pPr>
    </w:p>
    <w:p w14:paraId="05683604" w14:textId="77777777" w:rsidR="00E27D19" w:rsidRPr="004B0965" w:rsidRDefault="00E27D19" w:rsidP="004B0965">
      <w:pPr>
        <w:pStyle w:val="NormalWeb"/>
        <w:jc w:val="both"/>
        <w:rPr>
          <w:sz w:val="28"/>
          <w:szCs w:val="28"/>
        </w:rPr>
      </w:pPr>
      <w:r w:rsidRPr="004B0965">
        <w:rPr>
          <w:rFonts w:ascii="Calibri" w:hAnsi="Calibri"/>
          <w:sz w:val="28"/>
          <w:szCs w:val="28"/>
        </w:rPr>
        <w:t xml:space="preserve">Desde su creación en el año </w:t>
      </w:r>
      <w:r w:rsidRPr="004B0965">
        <w:rPr>
          <w:rFonts w:ascii="Calibri" w:hAnsi="Calibri"/>
          <w:b/>
          <w:bCs/>
          <w:sz w:val="28"/>
          <w:szCs w:val="28"/>
        </w:rPr>
        <w:t xml:space="preserve">1940, </w:t>
      </w:r>
      <w:r w:rsidRPr="004B0965">
        <w:rPr>
          <w:rFonts w:ascii="Calibri" w:hAnsi="Calibri"/>
          <w:sz w:val="28"/>
          <w:szCs w:val="28"/>
        </w:rPr>
        <w:t xml:space="preserve">en que se presenta por primera vez el </w:t>
      </w:r>
      <w:r w:rsidRPr="004B0965">
        <w:rPr>
          <w:rFonts w:ascii="Calibri" w:hAnsi="Calibri"/>
          <w:b/>
          <w:bCs/>
          <w:sz w:val="28"/>
          <w:szCs w:val="28"/>
        </w:rPr>
        <w:t xml:space="preserve">Grupo de Coros y Danzas de Badajoz, y tras convertirse en Asociación,  </w:t>
      </w:r>
      <w:r w:rsidRPr="004B0965">
        <w:rPr>
          <w:rFonts w:ascii="Calibri" w:hAnsi="Calibri"/>
          <w:bCs/>
          <w:sz w:val="28"/>
          <w:szCs w:val="28"/>
        </w:rPr>
        <w:t>este grupo</w:t>
      </w:r>
      <w:r w:rsidRPr="004B0965">
        <w:rPr>
          <w:rFonts w:ascii="Calibri" w:hAnsi="Calibri"/>
          <w:b/>
          <w:bCs/>
          <w:sz w:val="28"/>
          <w:szCs w:val="28"/>
        </w:rPr>
        <w:t xml:space="preserve"> </w:t>
      </w:r>
      <w:r w:rsidRPr="004B0965">
        <w:rPr>
          <w:rFonts w:ascii="Calibri" w:hAnsi="Calibri"/>
          <w:sz w:val="28"/>
          <w:szCs w:val="28"/>
        </w:rPr>
        <w:t xml:space="preserve">ha actuado en gran número de poblaciones extremeñas y en la totalidad de las regiones españolas. Asimismo, ha representado a Extremadura y a España en prestigiosos festivales internacionales de folklore de numerosos países de todo el mundo. </w:t>
      </w:r>
    </w:p>
    <w:p w14:paraId="09ECFC8A" w14:textId="77777777" w:rsidR="00E27D19" w:rsidRPr="004B0965" w:rsidRDefault="00E27D19" w:rsidP="004B0965">
      <w:pPr>
        <w:pStyle w:val="NormalWeb"/>
        <w:jc w:val="both"/>
        <w:rPr>
          <w:sz w:val="28"/>
          <w:szCs w:val="28"/>
        </w:rPr>
      </w:pPr>
      <w:r w:rsidRPr="004B0965">
        <w:rPr>
          <w:rFonts w:ascii="Calibri" w:hAnsi="Calibri"/>
          <w:color w:val="000000"/>
          <w:sz w:val="28"/>
          <w:szCs w:val="28"/>
        </w:rPr>
        <w:t>Con motivo del cumplimiento de nuestro 75 Aniversario y dentro del programa de actividades llevadas a cabo durante el año 2015, para conmemorar esta celebración, ha grabado un nuevo trabajo discográfico titulado:</w:t>
      </w:r>
    </w:p>
    <w:p w14:paraId="63A0FFBD" w14:textId="77777777" w:rsidR="00E27D19" w:rsidRPr="004B0965" w:rsidRDefault="00E27D19" w:rsidP="004B0965">
      <w:pPr>
        <w:pStyle w:val="NormalWeb"/>
        <w:jc w:val="both"/>
        <w:rPr>
          <w:rFonts w:ascii="Calibri" w:hAnsi="Calibri"/>
          <w:sz w:val="28"/>
          <w:szCs w:val="28"/>
        </w:rPr>
      </w:pPr>
      <w:r w:rsidRPr="004B0965">
        <w:rPr>
          <w:sz w:val="28"/>
          <w:szCs w:val="28"/>
        </w:rPr>
        <w:t>“</w:t>
      </w:r>
      <w:r w:rsidRPr="004B0965">
        <w:rPr>
          <w:rFonts w:ascii="Calibri" w:hAnsi="Calibri"/>
          <w:b/>
          <w:bCs/>
          <w:sz w:val="28"/>
          <w:szCs w:val="28"/>
        </w:rPr>
        <w:t>DE LA TIERRA”</w:t>
      </w:r>
      <w:r w:rsidRPr="004B0965">
        <w:rPr>
          <w:rFonts w:ascii="Calibri" w:hAnsi="Calibri"/>
          <w:sz w:val="28"/>
          <w:szCs w:val="28"/>
        </w:rPr>
        <w:t xml:space="preserve">, que recoge una gran selección de temas del Folklore Extremeño, que forman parte de nuestro amplio repertorio y que fue presentado </w:t>
      </w:r>
      <w:r w:rsidR="004B0965">
        <w:rPr>
          <w:rFonts w:ascii="Calibri" w:hAnsi="Calibri"/>
          <w:sz w:val="28"/>
          <w:szCs w:val="28"/>
        </w:rPr>
        <w:t xml:space="preserve">el día 24 de </w:t>
      </w:r>
      <w:r w:rsidRPr="004B0965">
        <w:rPr>
          <w:rFonts w:ascii="Calibri" w:hAnsi="Calibri"/>
          <w:sz w:val="28"/>
          <w:szCs w:val="28"/>
        </w:rPr>
        <w:t xml:space="preserve"> Julio de 2015.</w:t>
      </w:r>
    </w:p>
    <w:p w14:paraId="327FEC0C" w14:textId="77777777" w:rsidR="004B0965" w:rsidRPr="00E6375D" w:rsidRDefault="004B0965" w:rsidP="004B0965">
      <w:pPr>
        <w:jc w:val="both"/>
        <w:rPr>
          <w:sz w:val="28"/>
          <w:szCs w:val="28"/>
        </w:rPr>
      </w:pPr>
    </w:p>
    <w:p w14:paraId="708F61E5" w14:textId="77777777" w:rsidR="004B0965" w:rsidRDefault="004B0965" w:rsidP="004B0965">
      <w:pPr>
        <w:pStyle w:val="Prrafodelista"/>
        <w:numPr>
          <w:ilvl w:val="0"/>
          <w:numId w:val="1"/>
        </w:numPr>
        <w:tabs>
          <w:tab w:val="left" w:pos="1560"/>
        </w:tabs>
        <w:jc w:val="both"/>
        <w:rPr>
          <w:sz w:val="28"/>
          <w:szCs w:val="28"/>
        </w:rPr>
      </w:pPr>
      <w:r w:rsidRPr="00E6375D">
        <w:rPr>
          <w:sz w:val="28"/>
          <w:szCs w:val="28"/>
        </w:rPr>
        <w:t>En sus últimas participaciones ha viajado por países como TAIWAN, RUSIA, RUMANIA, FRANCIA, HUNGRÍA,</w:t>
      </w:r>
      <w:r w:rsidR="00E6375D" w:rsidRPr="00E6375D">
        <w:rPr>
          <w:sz w:val="28"/>
          <w:szCs w:val="28"/>
        </w:rPr>
        <w:t xml:space="preserve"> entre </w:t>
      </w:r>
      <w:proofErr w:type="gramStart"/>
      <w:r w:rsidR="00E6375D" w:rsidRPr="00E6375D">
        <w:rPr>
          <w:sz w:val="28"/>
          <w:szCs w:val="28"/>
        </w:rPr>
        <w:t xml:space="preserve">otros, </w:t>
      </w:r>
      <w:r w:rsidRPr="00E6375D">
        <w:rPr>
          <w:sz w:val="28"/>
          <w:szCs w:val="28"/>
        </w:rPr>
        <w:t xml:space="preserve"> siendo</w:t>
      </w:r>
      <w:proofErr w:type="gramEnd"/>
      <w:r w:rsidR="00E6375D" w:rsidRPr="00E6375D">
        <w:rPr>
          <w:sz w:val="28"/>
          <w:szCs w:val="28"/>
        </w:rPr>
        <w:t xml:space="preserve"> su </w:t>
      </w:r>
      <w:r w:rsidRPr="00E6375D">
        <w:rPr>
          <w:sz w:val="28"/>
          <w:szCs w:val="28"/>
        </w:rPr>
        <w:t xml:space="preserve"> participación más </w:t>
      </w:r>
      <w:r w:rsidR="00A06763">
        <w:rPr>
          <w:sz w:val="28"/>
          <w:szCs w:val="28"/>
        </w:rPr>
        <w:t>destacada en estos últimos años</w:t>
      </w:r>
      <w:r w:rsidRPr="00E6375D">
        <w:rPr>
          <w:sz w:val="28"/>
          <w:szCs w:val="28"/>
        </w:rPr>
        <w:t xml:space="preserve">, </w:t>
      </w:r>
      <w:r w:rsidR="00E6375D" w:rsidRPr="00E6375D">
        <w:rPr>
          <w:sz w:val="28"/>
          <w:szCs w:val="28"/>
        </w:rPr>
        <w:t xml:space="preserve">en la </w:t>
      </w:r>
      <w:proofErr w:type="spellStart"/>
      <w:r w:rsidR="00E6375D" w:rsidRPr="00E6375D">
        <w:rPr>
          <w:sz w:val="28"/>
          <w:szCs w:val="28"/>
        </w:rPr>
        <w:t>Folcloriada</w:t>
      </w:r>
      <w:proofErr w:type="spellEnd"/>
      <w:r w:rsidR="00E6375D" w:rsidRPr="00E6375D">
        <w:rPr>
          <w:sz w:val="28"/>
          <w:szCs w:val="28"/>
        </w:rPr>
        <w:t xml:space="preserve"> Mundial celebrada en Zacatecas ( MEXICO </w:t>
      </w:r>
      <w:r w:rsidR="00E730BF">
        <w:rPr>
          <w:sz w:val="28"/>
          <w:szCs w:val="28"/>
        </w:rPr>
        <w:t xml:space="preserve">) </w:t>
      </w:r>
      <w:r w:rsidR="00E6375D" w:rsidRPr="00E6375D">
        <w:rPr>
          <w:sz w:val="28"/>
          <w:szCs w:val="28"/>
        </w:rPr>
        <w:t xml:space="preserve">durante los meses de Julio y Agosto del año 2016, </w:t>
      </w:r>
      <w:r w:rsidR="00E6375D">
        <w:rPr>
          <w:sz w:val="28"/>
          <w:szCs w:val="28"/>
        </w:rPr>
        <w:t>y en la que tuvo el honor de ser digno representante de nuestro país.</w:t>
      </w:r>
    </w:p>
    <w:p w14:paraId="47AB90B7" w14:textId="77777777" w:rsidR="00A12189" w:rsidRDefault="00A12189" w:rsidP="00A12189">
      <w:pPr>
        <w:pStyle w:val="Prrafodelista"/>
        <w:tabs>
          <w:tab w:val="left" w:pos="1560"/>
        </w:tabs>
        <w:ind w:left="721"/>
        <w:jc w:val="both"/>
        <w:rPr>
          <w:sz w:val="28"/>
          <w:szCs w:val="28"/>
        </w:rPr>
      </w:pPr>
    </w:p>
    <w:p w14:paraId="1BDBA682" w14:textId="77777777" w:rsidR="00A06763" w:rsidRDefault="00A06763" w:rsidP="004B0965">
      <w:pPr>
        <w:pStyle w:val="Prrafodelista"/>
        <w:numPr>
          <w:ilvl w:val="0"/>
          <w:numId w:val="1"/>
        </w:num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Desde esa fecha y hasta hoy ha venido participando en numerosos festivales internacionales en España y Portugal, además de seguir siendo el grupo anfitrión en las ediciones del Festival Folclórico Internacional de Extremadura que se viene celebrando en Badajoz, y que en 2022 ha celebrado su 41 Edición.</w:t>
      </w:r>
    </w:p>
    <w:p w14:paraId="548F7D87" w14:textId="77777777" w:rsidR="00A12189" w:rsidRPr="00A12189" w:rsidRDefault="00A12189" w:rsidP="00A12189">
      <w:pPr>
        <w:pStyle w:val="Prrafodelista"/>
        <w:rPr>
          <w:sz w:val="28"/>
          <w:szCs w:val="28"/>
        </w:rPr>
      </w:pPr>
    </w:p>
    <w:p w14:paraId="1FCF75A4" w14:textId="77777777" w:rsidR="00A12189" w:rsidRPr="00A12189" w:rsidRDefault="00A12189" w:rsidP="00A12189">
      <w:pPr>
        <w:pStyle w:val="Prrafodelista"/>
        <w:numPr>
          <w:ilvl w:val="0"/>
          <w:numId w:val="1"/>
        </w:numPr>
        <w:jc w:val="both"/>
        <w:rPr>
          <w:sz w:val="28"/>
          <w:szCs w:val="24"/>
        </w:rPr>
      </w:pPr>
      <w:r w:rsidRPr="00A12189">
        <w:rPr>
          <w:sz w:val="28"/>
          <w:szCs w:val="24"/>
        </w:rPr>
        <w:t>Países visitados por el Grupo de Coros y Danzas de Badajoz para participar en festivales, encuentros y diferentes acontecimientos, representando a Extremadura y España:</w:t>
      </w:r>
    </w:p>
    <w:p w14:paraId="74E0E6FF" w14:textId="77777777" w:rsidR="00A12189" w:rsidRPr="00A12189" w:rsidRDefault="00A12189" w:rsidP="00A12189">
      <w:pPr>
        <w:pStyle w:val="Prrafodelista"/>
        <w:ind w:left="721"/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A12189" w:rsidRPr="00A12189" w14:paraId="74DA015B" w14:textId="77777777" w:rsidTr="00A12189">
        <w:tc>
          <w:tcPr>
            <w:tcW w:w="3070" w:type="dxa"/>
            <w:hideMark/>
          </w:tcPr>
          <w:p w14:paraId="730ABD58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Alemania</w:t>
            </w:r>
          </w:p>
        </w:tc>
        <w:tc>
          <w:tcPr>
            <w:tcW w:w="3070" w:type="dxa"/>
            <w:hideMark/>
          </w:tcPr>
          <w:p w14:paraId="7E0ECAC8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Andorra</w:t>
            </w:r>
          </w:p>
        </w:tc>
        <w:tc>
          <w:tcPr>
            <w:tcW w:w="3071" w:type="dxa"/>
            <w:hideMark/>
          </w:tcPr>
          <w:p w14:paraId="18865790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Austria</w:t>
            </w:r>
          </w:p>
        </w:tc>
      </w:tr>
      <w:tr w:rsidR="00A12189" w:rsidRPr="00A12189" w14:paraId="4B99CDF1" w14:textId="77777777" w:rsidTr="00A12189">
        <w:tc>
          <w:tcPr>
            <w:tcW w:w="3070" w:type="dxa"/>
            <w:hideMark/>
          </w:tcPr>
          <w:p w14:paraId="6A72FC4A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Bélgica</w:t>
            </w:r>
          </w:p>
        </w:tc>
        <w:tc>
          <w:tcPr>
            <w:tcW w:w="3070" w:type="dxa"/>
            <w:hideMark/>
          </w:tcPr>
          <w:p w14:paraId="58458304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Canadá</w:t>
            </w:r>
          </w:p>
        </w:tc>
        <w:tc>
          <w:tcPr>
            <w:tcW w:w="3071" w:type="dxa"/>
            <w:hideMark/>
          </w:tcPr>
          <w:p w14:paraId="7DC00C03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Colombia</w:t>
            </w:r>
          </w:p>
        </w:tc>
      </w:tr>
      <w:tr w:rsidR="00A12189" w:rsidRPr="00A12189" w14:paraId="5E2AE37D" w14:textId="77777777" w:rsidTr="00A12189">
        <w:tc>
          <w:tcPr>
            <w:tcW w:w="3070" w:type="dxa"/>
            <w:hideMark/>
          </w:tcPr>
          <w:p w14:paraId="667E8452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Chile</w:t>
            </w:r>
          </w:p>
        </w:tc>
        <w:tc>
          <w:tcPr>
            <w:tcW w:w="3070" w:type="dxa"/>
            <w:hideMark/>
          </w:tcPr>
          <w:p w14:paraId="1EA71B9A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Chipre</w:t>
            </w:r>
          </w:p>
        </w:tc>
        <w:tc>
          <w:tcPr>
            <w:tcW w:w="3071" w:type="dxa"/>
            <w:hideMark/>
          </w:tcPr>
          <w:p w14:paraId="0BDAA64F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Francia</w:t>
            </w:r>
          </w:p>
        </w:tc>
      </w:tr>
      <w:tr w:rsidR="00A12189" w:rsidRPr="00A12189" w14:paraId="7B47EF27" w14:textId="77777777" w:rsidTr="00A12189">
        <w:tc>
          <w:tcPr>
            <w:tcW w:w="3070" w:type="dxa"/>
            <w:hideMark/>
          </w:tcPr>
          <w:p w14:paraId="2E66147E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Grecia</w:t>
            </w:r>
          </w:p>
        </w:tc>
        <w:tc>
          <w:tcPr>
            <w:tcW w:w="3070" w:type="dxa"/>
            <w:hideMark/>
          </w:tcPr>
          <w:p w14:paraId="1D2CF6B3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Holanda</w:t>
            </w:r>
          </w:p>
        </w:tc>
        <w:tc>
          <w:tcPr>
            <w:tcW w:w="3071" w:type="dxa"/>
            <w:hideMark/>
          </w:tcPr>
          <w:p w14:paraId="6100EB18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Hungría</w:t>
            </w:r>
          </w:p>
        </w:tc>
      </w:tr>
      <w:tr w:rsidR="00A12189" w:rsidRPr="00A12189" w14:paraId="3519A617" w14:textId="77777777" w:rsidTr="00A12189">
        <w:tc>
          <w:tcPr>
            <w:tcW w:w="3070" w:type="dxa"/>
            <w:hideMark/>
          </w:tcPr>
          <w:p w14:paraId="11AE998A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Italia</w:t>
            </w:r>
          </w:p>
        </w:tc>
        <w:tc>
          <w:tcPr>
            <w:tcW w:w="3070" w:type="dxa"/>
            <w:hideMark/>
          </w:tcPr>
          <w:p w14:paraId="72450C09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Jordania</w:t>
            </w:r>
          </w:p>
        </w:tc>
        <w:tc>
          <w:tcPr>
            <w:tcW w:w="3071" w:type="dxa"/>
            <w:hideMark/>
          </w:tcPr>
          <w:p w14:paraId="5DEBAB5B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Liechtenstein</w:t>
            </w:r>
          </w:p>
        </w:tc>
      </w:tr>
      <w:tr w:rsidR="00A12189" w:rsidRPr="00A12189" w14:paraId="4D2889A7" w14:textId="77777777" w:rsidTr="00A12189">
        <w:tc>
          <w:tcPr>
            <w:tcW w:w="3070" w:type="dxa"/>
            <w:hideMark/>
          </w:tcPr>
          <w:p w14:paraId="340586A4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Macedonia</w:t>
            </w:r>
          </w:p>
        </w:tc>
        <w:tc>
          <w:tcPr>
            <w:tcW w:w="3070" w:type="dxa"/>
            <w:hideMark/>
          </w:tcPr>
          <w:p w14:paraId="530B0397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Marruecos</w:t>
            </w:r>
          </w:p>
        </w:tc>
        <w:tc>
          <w:tcPr>
            <w:tcW w:w="3071" w:type="dxa"/>
            <w:hideMark/>
          </w:tcPr>
          <w:p w14:paraId="689592AB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Panamá</w:t>
            </w:r>
          </w:p>
        </w:tc>
      </w:tr>
      <w:tr w:rsidR="00A12189" w:rsidRPr="00A12189" w14:paraId="6CFFF493" w14:textId="77777777" w:rsidTr="00A12189">
        <w:tc>
          <w:tcPr>
            <w:tcW w:w="3070" w:type="dxa"/>
            <w:hideMark/>
          </w:tcPr>
          <w:p w14:paraId="2735BC36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Polonia</w:t>
            </w:r>
          </w:p>
        </w:tc>
        <w:tc>
          <w:tcPr>
            <w:tcW w:w="3070" w:type="dxa"/>
            <w:hideMark/>
          </w:tcPr>
          <w:p w14:paraId="538236B6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Portugal</w:t>
            </w:r>
          </w:p>
        </w:tc>
        <w:tc>
          <w:tcPr>
            <w:tcW w:w="3071" w:type="dxa"/>
            <w:hideMark/>
          </w:tcPr>
          <w:p w14:paraId="4579CED1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Puerto Rico</w:t>
            </w:r>
          </w:p>
        </w:tc>
      </w:tr>
      <w:tr w:rsidR="00A12189" w:rsidRPr="00A12189" w14:paraId="66845E8D" w14:textId="77777777" w:rsidTr="00A12189">
        <w:tc>
          <w:tcPr>
            <w:tcW w:w="3070" w:type="dxa"/>
            <w:hideMark/>
          </w:tcPr>
          <w:p w14:paraId="3256A4A3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Rumanía</w:t>
            </w:r>
          </w:p>
        </w:tc>
        <w:tc>
          <w:tcPr>
            <w:tcW w:w="3070" w:type="dxa"/>
            <w:hideMark/>
          </w:tcPr>
          <w:p w14:paraId="40F6D728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Rusia</w:t>
            </w:r>
          </w:p>
        </w:tc>
        <w:tc>
          <w:tcPr>
            <w:tcW w:w="3071" w:type="dxa"/>
            <w:hideMark/>
          </w:tcPr>
          <w:p w14:paraId="58A9007B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Serbia</w:t>
            </w:r>
          </w:p>
        </w:tc>
      </w:tr>
      <w:tr w:rsidR="00A12189" w:rsidRPr="00A12189" w14:paraId="0BFBA475" w14:textId="77777777" w:rsidTr="00A12189">
        <w:tc>
          <w:tcPr>
            <w:tcW w:w="3070" w:type="dxa"/>
            <w:hideMark/>
          </w:tcPr>
          <w:p w14:paraId="7F2C2854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Siria</w:t>
            </w:r>
          </w:p>
        </w:tc>
        <w:tc>
          <w:tcPr>
            <w:tcW w:w="3070" w:type="dxa"/>
            <w:hideMark/>
          </w:tcPr>
          <w:p w14:paraId="5C1407F0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Suiza</w:t>
            </w:r>
          </w:p>
        </w:tc>
        <w:tc>
          <w:tcPr>
            <w:tcW w:w="3071" w:type="dxa"/>
            <w:hideMark/>
          </w:tcPr>
          <w:p w14:paraId="078171E9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Taiwán (China-Taipéi)</w:t>
            </w:r>
          </w:p>
        </w:tc>
      </w:tr>
      <w:tr w:rsidR="00A12189" w:rsidRPr="00A12189" w14:paraId="38199C3E" w14:textId="77777777" w:rsidTr="00A12189">
        <w:tc>
          <w:tcPr>
            <w:tcW w:w="3070" w:type="dxa"/>
            <w:hideMark/>
          </w:tcPr>
          <w:p w14:paraId="4FE0C171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Túnez</w:t>
            </w:r>
          </w:p>
        </w:tc>
        <w:tc>
          <w:tcPr>
            <w:tcW w:w="3070" w:type="dxa"/>
            <w:hideMark/>
          </w:tcPr>
          <w:p w14:paraId="7C69FAF1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Venezuela</w:t>
            </w:r>
          </w:p>
        </w:tc>
        <w:tc>
          <w:tcPr>
            <w:tcW w:w="3071" w:type="dxa"/>
            <w:hideMark/>
          </w:tcPr>
          <w:p w14:paraId="08CCE92A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Argentina</w:t>
            </w:r>
          </w:p>
        </w:tc>
      </w:tr>
      <w:tr w:rsidR="00A12189" w:rsidRPr="00A12189" w14:paraId="1CCF7E49" w14:textId="77777777" w:rsidTr="00A12189">
        <w:tc>
          <w:tcPr>
            <w:tcW w:w="3070" w:type="dxa"/>
            <w:hideMark/>
          </w:tcPr>
          <w:p w14:paraId="498BC1E7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  <w:r w:rsidRPr="00A12189">
              <w:rPr>
                <w:sz w:val="28"/>
                <w:szCs w:val="24"/>
              </w:rPr>
              <w:t>Paraguay</w:t>
            </w:r>
          </w:p>
        </w:tc>
        <w:tc>
          <w:tcPr>
            <w:tcW w:w="3070" w:type="dxa"/>
          </w:tcPr>
          <w:p w14:paraId="119A8A6C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071" w:type="dxa"/>
          </w:tcPr>
          <w:p w14:paraId="70BCF9FE" w14:textId="77777777" w:rsidR="00A12189" w:rsidRPr="00A12189" w:rsidRDefault="00A12189">
            <w:pPr>
              <w:jc w:val="both"/>
              <w:rPr>
                <w:sz w:val="28"/>
                <w:szCs w:val="24"/>
              </w:rPr>
            </w:pPr>
          </w:p>
        </w:tc>
      </w:tr>
    </w:tbl>
    <w:p w14:paraId="5F2C777B" w14:textId="77777777" w:rsidR="00E6375D" w:rsidRDefault="00E6375D" w:rsidP="00E6375D">
      <w:pPr>
        <w:pStyle w:val="Prrafodelista"/>
        <w:tabs>
          <w:tab w:val="left" w:pos="1560"/>
        </w:tabs>
        <w:ind w:left="721"/>
        <w:jc w:val="both"/>
        <w:rPr>
          <w:sz w:val="28"/>
          <w:szCs w:val="28"/>
        </w:rPr>
      </w:pPr>
    </w:p>
    <w:p w14:paraId="47F09608" w14:textId="77777777" w:rsidR="004B0965" w:rsidRPr="004B0965" w:rsidRDefault="004B0965" w:rsidP="004B0965">
      <w:pPr>
        <w:ind w:firstLine="361"/>
        <w:jc w:val="both"/>
        <w:rPr>
          <w:sz w:val="28"/>
          <w:szCs w:val="28"/>
        </w:rPr>
      </w:pPr>
    </w:p>
    <w:p w14:paraId="73B87D68" w14:textId="77777777" w:rsidR="00757269" w:rsidRPr="004B0965" w:rsidRDefault="00757269">
      <w:pPr>
        <w:rPr>
          <w:sz w:val="28"/>
          <w:szCs w:val="28"/>
        </w:rPr>
      </w:pPr>
    </w:p>
    <w:sectPr w:rsidR="00757269" w:rsidRPr="004B0965" w:rsidSect="00E27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3F6"/>
    <w:multiLevelType w:val="hybridMultilevel"/>
    <w:tmpl w:val="3BE8BD4A"/>
    <w:lvl w:ilvl="0" w:tplc="0C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52194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19"/>
    <w:rsid w:val="004B0965"/>
    <w:rsid w:val="00757269"/>
    <w:rsid w:val="007E0394"/>
    <w:rsid w:val="00A06763"/>
    <w:rsid w:val="00A12189"/>
    <w:rsid w:val="00D768D0"/>
    <w:rsid w:val="00E27D19"/>
    <w:rsid w:val="00E6375D"/>
    <w:rsid w:val="00E7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DF4E"/>
  <w15:docId w15:val="{7BD3599D-A3F2-4A78-A523-D690698A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D19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D19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B0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Galea Balas</dc:creator>
  <cp:lastModifiedBy>09164503S@municipios.local</cp:lastModifiedBy>
  <cp:revision>2</cp:revision>
  <dcterms:created xsi:type="dcterms:W3CDTF">2022-11-16T10:22:00Z</dcterms:created>
  <dcterms:modified xsi:type="dcterms:W3CDTF">2022-11-16T10:22:00Z</dcterms:modified>
</cp:coreProperties>
</file>