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53" w:rsidRPr="00253F53" w:rsidRDefault="00253F53" w:rsidP="00253F53">
      <w:pPr>
        <w:widowControl/>
        <w:spacing w:line="510" w:lineRule="atLeast"/>
        <w:jc w:val="center"/>
        <w:textAlignment w:val="baseline"/>
        <w:rPr>
          <w:rFonts w:ascii="inherit" w:hAnsi="inherit"/>
          <w:b/>
          <w:snapToGrid/>
          <w:color w:val="000000"/>
          <w:szCs w:val="24"/>
          <w:u w:val="single"/>
          <w:bdr w:val="none" w:sz="0" w:space="0" w:color="auto" w:frame="1"/>
          <w:lang w:val="es-ES"/>
        </w:rPr>
      </w:pPr>
      <w:r w:rsidRPr="00253F53">
        <w:rPr>
          <w:rFonts w:ascii="inherit" w:hAnsi="inherit"/>
          <w:b/>
          <w:snapToGrid/>
          <w:color w:val="000000"/>
          <w:szCs w:val="24"/>
          <w:u w:val="single"/>
          <w:bdr w:val="none" w:sz="0" w:space="0" w:color="auto" w:frame="1"/>
          <w:lang w:val="es-ES"/>
        </w:rPr>
        <w:t xml:space="preserve">INFORMACION </w:t>
      </w:r>
      <w:proofErr w:type="spellStart"/>
      <w:r w:rsidRPr="00253F53">
        <w:rPr>
          <w:rFonts w:ascii="inherit" w:hAnsi="inherit"/>
          <w:b/>
          <w:snapToGrid/>
          <w:color w:val="000000"/>
          <w:szCs w:val="24"/>
          <w:u w:val="single"/>
          <w:bdr w:val="none" w:sz="0" w:space="0" w:color="auto" w:frame="1"/>
          <w:lang w:val="es-ES"/>
        </w:rPr>
        <w:t>RAEEs</w:t>
      </w:r>
      <w:bookmarkStart w:id="0" w:name="_GoBack"/>
      <w:bookmarkEnd w:id="0"/>
      <w:proofErr w:type="spellEnd"/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FR1 – Aparatos de intercambio de temperatura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 xml:space="preserve">Frigoríficos, congeladores, aparatos que suministran automáticamente productos fríos, aparatos de aire acondicionado, equipos de </w:t>
      </w:r>
      <w:proofErr w:type="spellStart"/>
      <w:r w:rsidRPr="002A61E4">
        <w:rPr>
          <w:rFonts w:ascii="Calibri" w:hAnsi="Calibri"/>
          <w:snapToGrid/>
          <w:color w:val="000000"/>
          <w:szCs w:val="24"/>
          <w:lang w:val="es-ES"/>
        </w:rPr>
        <w:t>deshumidificación</w:t>
      </w:r>
      <w:proofErr w:type="spellEnd"/>
      <w:r w:rsidRPr="002A61E4">
        <w:rPr>
          <w:rFonts w:ascii="Calibri" w:hAnsi="Calibri"/>
          <w:snapToGrid/>
          <w:color w:val="000000"/>
          <w:szCs w:val="24"/>
          <w:lang w:val="es-ES"/>
        </w:rPr>
        <w:t>, bombas de calor, radiadores de aceite y otros aparatos de intercambio de temperatura que utilicen otros fluidos que no sean el agua.</w:t>
      </w: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FR2 – Monitores y pantallas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>Pantallas, televisores, marcos digitales para fotos con tecnología LCD, monitores, ordenadores portátiles, incluidos los de tipo “notebook”.</w:t>
      </w: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FR3 – Lámparas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>Lámparas fluorescentes rectas, lámparas fluorescentes compactas, lámparas fluorescentes, lámparas de descarga de alta intensidad, incluidas las lámparas de sodio de presión y las lámparas de haluros metálicos, lámparas de sodio de baja presión y lámparas LED.</w:t>
      </w: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FR4 – Grandes aparatos (&gt;50cm)</w:t>
      </w:r>
    </w:p>
    <w:p w:rsid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>Lavadoras, secadoras, lavavajillas, cocinas, cocinas y hornos eléctricos, hornillos eléctricos, placas de calor eléctricas, luminarias; aparatos de reproducción de sonido o imagen, equipos de música (excepto los órganos de tubo instalados en iglesias), máquinas de hacer punto y tejer, grandes ordenadores, grandes impresoras, cartuchos de impresión, tóner y otros consumibles relacionados grandes con partes eléctricas, copiadoras, grandes máquinas tragaperras, productos sanitarios de grandes dimensiones, grandes instrumentos de vigilancia y control, grandes aparatos que suministran productos y dinero automáticamente.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FR5 – Pequeños aparatos (&lt;50cm)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 xml:space="preserve">Aspiradoras, </w:t>
      </w:r>
      <w:proofErr w:type="spellStart"/>
      <w:r w:rsidRPr="002A61E4">
        <w:rPr>
          <w:rFonts w:ascii="Calibri" w:hAnsi="Calibri"/>
          <w:snapToGrid/>
          <w:color w:val="000000"/>
          <w:szCs w:val="24"/>
          <w:lang w:val="es-ES"/>
        </w:rPr>
        <w:t>limpiamoquetas</w:t>
      </w:r>
      <w:proofErr w:type="spellEnd"/>
      <w:r w:rsidRPr="002A61E4">
        <w:rPr>
          <w:rFonts w:ascii="Calibri" w:hAnsi="Calibri"/>
          <w:snapToGrid/>
          <w:color w:val="000000"/>
          <w:szCs w:val="24"/>
          <w:lang w:val="es-ES"/>
        </w:rPr>
        <w:t>, máquinas de coser, luminarias, hornos microondas, aparatos de ventilación, planchas, tostadoras, cuchillos eléctricos, hervidores eléctricos, relojes, maquinillas de afeitar eléctricas, básculas, aparatos para el cuidado del pelo y el cuerpo, calculadoras, aparatos de radio, videocámaras, aparatos de grabación de vídeo, cadenas de alta fidelidad, instrumentos musicales, aparatos de reproducción de sonido o imagen, juguetes eléctricos y electrónicos, artículos deportivos, ordenadores para practicar ciclismo, submarinismo, carreras, remo, etc., detectores de humo, reguladores de calefacción, termostatos, pequeñas herramientas eléctricas y electrónicas, pequeños productos sanitarios, pequeños instrumentos de vigilancia y control, pequeños aparatos que suministran productos automáticamente, pequeños aparatos con paneles fotovoltaicos integrados, interruptores, regletas, enchufes, relés.</w:t>
      </w: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FR6 – Aparatos informáticos y de telecomunicaciones con componentes peligrosos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>Teléfonos móviles, GPS, calculadoras de bolsillo, ordenadores personales, impresoras, teléfonos, cartuchos de impresión y tóner con partes eléctricas.</w:t>
      </w:r>
    </w:p>
    <w:p w:rsidR="002A61E4" w:rsidRPr="002A61E4" w:rsidRDefault="002A61E4" w:rsidP="002A61E4">
      <w:pPr>
        <w:widowControl/>
        <w:spacing w:before="0" w:after="0" w:line="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</w:p>
    <w:p w:rsidR="002A61E4" w:rsidRPr="002A61E4" w:rsidRDefault="002A61E4" w:rsidP="002A61E4">
      <w:pPr>
        <w:widowControl/>
        <w:spacing w:line="510" w:lineRule="atLeast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inherit" w:hAnsi="inherit"/>
          <w:snapToGrid/>
          <w:color w:val="000000"/>
          <w:szCs w:val="24"/>
          <w:bdr w:val="none" w:sz="0" w:space="0" w:color="auto" w:frame="1"/>
          <w:lang w:val="es-ES"/>
        </w:rPr>
        <w:t>FR7 – Paneles fotovoltaicos</w:t>
      </w:r>
    </w:p>
    <w:p w:rsidR="002A61E4" w:rsidRPr="002A61E4" w:rsidRDefault="002A61E4" w:rsidP="002A61E4">
      <w:pPr>
        <w:widowControl/>
        <w:spacing w:before="0" w:line="240" w:lineRule="auto"/>
        <w:jc w:val="left"/>
        <w:textAlignment w:val="baseline"/>
        <w:rPr>
          <w:rFonts w:ascii="Calibri" w:hAnsi="Calibri"/>
          <w:snapToGrid/>
          <w:color w:val="000000"/>
          <w:szCs w:val="24"/>
          <w:lang w:val="es-ES"/>
        </w:rPr>
      </w:pPr>
      <w:r w:rsidRPr="002A61E4">
        <w:rPr>
          <w:rFonts w:ascii="Calibri" w:hAnsi="Calibri"/>
          <w:snapToGrid/>
          <w:color w:val="000000"/>
          <w:szCs w:val="24"/>
          <w:lang w:val="es-ES"/>
        </w:rPr>
        <w:t>Según se establece en el anexo III del real decreto, la Directiva de 2012 reduce estas categorías a 6 pero se ha considerado adecuado separar los paneles fotovoltaicos en una nueva categoría dada la singularidad de este tipo de aparatos, de larga vida media y perfil profesional para que no distorsione las cuotas y objetivos de recogida anuales del resto de aparatos eléctricos con características más similares.</w:t>
      </w:r>
    </w:p>
    <w:p w:rsidR="00671593" w:rsidRPr="002A61E4" w:rsidRDefault="00671593">
      <w:pPr>
        <w:rPr>
          <w:lang w:val="es-ES"/>
        </w:rPr>
      </w:pPr>
    </w:p>
    <w:sectPr w:rsidR="00671593" w:rsidRPr="002A61E4" w:rsidSect="00253F53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Gothic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E4"/>
    <w:rsid w:val="00253F53"/>
    <w:rsid w:val="002A61E4"/>
    <w:rsid w:val="00671593"/>
    <w:rsid w:val="00D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73"/>
    <w:pPr>
      <w:widowControl w:val="0"/>
      <w:spacing w:before="40" w:after="40" w:line="288" w:lineRule="auto"/>
      <w:jc w:val="both"/>
    </w:pPr>
    <w:rPr>
      <w:snapToGrid w:val="0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D1773"/>
    <w:pPr>
      <w:keepNext/>
      <w:spacing w:line="240" w:lineRule="exact"/>
      <w:jc w:val="center"/>
      <w:outlineLvl w:val="0"/>
    </w:pPr>
    <w:rPr>
      <w:rFonts w:ascii="EngraversGothic BT" w:hAnsi="EngraversGothic BT"/>
      <w:b/>
    </w:rPr>
  </w:style>
  <w:style w:type="paragraph" w:styleId="Ttulo3">
    <w:name w:val="heading 3"/>
    <w:basedOn w:val="Normal"/>
    <w:next w:val="Normal"/>
    <w:link w:val="Ttulo3Car"/>
    <w:qFormat/>
    <w:rsid w:val="00DD1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773"/>
    <w:rPr>
      <w:rFonts w:ascii="EngraversGothic BT" w:hAnsi="EngraversGothic BT"/>
      <w:b/>
      <w:snapToGrid w:val="0"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D1773"/>
    <w:rPr>
      <w:rFonts w:ascii="Arial" w:hAnsi="Arial" w:cs="Arial"/>
      <w:b/>
      <w:bCs/>
      <w:snapToGrid w:val="0"/>
      <w:sz w:val="26"/>
      <w:szCs w:val="26"/>
      <w:lang w:val="es-ES_tradnl" w:eastAsia="es-ES"/>
    </w:rPr>
  </w:style>
  <w:style w:type="character" w:styleId="Textoennegrita">
    <w:name w:val="Strong"/>
    <w:qFormat/>
    <w:rsid w:val="00DD17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1E4"/>
    <w:rPr>
      <w:rFonts w:ascii="Tahoma" w:hAnsi="Tahoma" w:cs="Tahoma"/>
      <w:snapToGrid w:val="0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73"/>
    <w:pPr>
      <w:widowControl w:val="0"/>
      <w:spacing w:before="40" w:after="40" w:line="288" w:lineRule="auto"/>
      <w:jc w:val="both"/>
    </w:pPr>
    <w:rPr>
      <w:snapToGrid w:val="0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D1773"/>
    <w:pPr>
      <w:keepNext/>
      <w:spacing w:line="240" w:lineRule="exact"/>
      <w:jc w:val="center"/>
      <w:outlineLvl w:val="0"/>
    </w:pPr>
    <w:rPr>
      <w:rFonts w:ascii="EngraversGothic BT" w:hAnsi="EngraversGothic BT"/>
      <w:b/>
    </w:rPr>
  </w:style>
  <w:style w:type="paragraph" w:styleId="Ttulo3">
    <w:name w:val="heading 3"/>
    <w:basedOn w:val="Normal"/>
    <w:next w:val="Normal"/>
    <w:link w:val="Ttulo3Car"/>
    <w:qFormat/>
    <w:rsid w:val="00DD1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773"/>
    <w:rPr>
      <w:rFonts w:ascii="EngraversGothic BT" w:hAnsi="EngraversGothic BT"/>
      <w:b/>
      <w:snapToGrid w:val="0"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D1773"/>
    <w:rPr>
      <w:rFonts w:ascii="Arial" w:hAnsi="Arial" w:cs="Arial"/>
      <w:b/>
      <w:bCs/>
      <w:snapToGrid w:val="0"/>
      <w:sz w:val="26"/>
      <w:szCs w:val="26"/>
      <w:lang w:val="es-ES_tradnl" w:eastAsia="es-ES"/>
    </w:rPr>
  </w:style>
  <w:style w:type="character" w:styleId="Textoennegrita">
    <w:name w:val="Strong"/>
    <w:qFormat/>
    <w:rsid w:val="00DD17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1E4"/>
    <w:rPr>
      <w:rFonts w:ascii="Tahoma" w:hAnsi="Tahoma" w:cs="Tahoma"/>
      <w:snapToGrid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6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54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02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74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4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62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21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5467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3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764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18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336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847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585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Pérez Jiménez</dc:creator>
  <cp:lastModifiedBy>Adolfo Pérez Jiménez</cp:lastModifiedBy>
  <cp:revision>3</cp:revision>
  <dcterms:created xsi:type="dcterms:W3CDTF">2024-08-29T09:23:00Z</dcterms:created>
  <dcterms:modified xsi:type="dcterms:W3CDTF">2024-08-30T08:08:00Z</dcterms:modified>
</cp:coreProperties>
</file>