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863" w:rsidRDefault="00D30D29">
      <w:pPr>
        <w:spacing w:after="100"/>
        <w:jc w:val="center"/>
      </w:pPr>
      <w:r>
        <w:rPr>
          <w:rFonts w:ascii="Arial" w:eastAsia="Arial" w:hAnsi="Arial" w:cs="Arial"/>
          <w:b/>
          <w:bCs/>
          <w:color w:val="1F4E79"/>
          <w:sz w:val="32"/>
          <w:szCs w:val="32"/>
        </w:rPr>
        <w:t>RESUMEN DE LA CONVOCATORIA</w:t>
      </w:r>
    </w:p>
    <w:p w:rsidR="00D73863" w:rsidRDefault="00D30D29">
      <w:pPr>
        <w:spacing w:after="300"/>
        <w:jc w:val="center"/>
      </w:pPr>
      <w:r>
        <w:rPr>
          <w:rFonts w:ascii="Arial" w:eastAsia="Arial" w:hAnsi="Arial" w:cs="Arial"/>
          <w:b/>
          <w:bCs/>
          <w:i/>
          <w:iCs/>
          <w:color w:val="1F4E79"/>
          <w:sz w:val="24"/>
          <w:szCs w:val="24"/>
        </w:rPr>
        <w:t>Ayudas para financiar la escolarización del primer ciclo de Educación Infantil — Curso 2026/2027</w:t>
      </w:r>
    </w:p>
    <w:p w:rsidR="00D73863" w:rsidRDefault="00D30D29">
      <w:pPr>
        <w:pBdr>
          <w:bottom w:val="single" w:sz="8" w:space="4" w:color="1F4E79"/>
        </w:pBdr>
        <w:spacing w:after="300"/>
      </w:pPr>
      <w:r>
        <w:rPr>
          <w:rFonts w:ascii="Arial" w:eastAsia="Arial" w:hAnsi="Arial" w:cs="Arial"/>
          <w:color w:val="666666"/>
        </w:rPr>
        <w:t>Resolución de 30 de julio de 2026, de la Secretaría General de Educación (DOE nº 151, 6 de agosto de 2026)</w:t>
      </w:r>
    </w:p>
    <w:p w:rsidR="00D73863" w:rsidRDefault="00D30D29">
      <w:pPr>
        <w:pStyle w:val="Ttulo1"/>
        <w:spacing w:before="300" w:after="150"/>
      </w:pPr>
      <w:r>
        <w:rPr>
          <w:rFonts w:ascii="Arial" w:eastAsia="Arial" w:hAnsi="Arial" w:cs="Arial"/>
          <w:b/>
          <w:bCs/>
          <w:color w:val="1F4E79"/>
          <w:sz w:val="28"/>
          <w:szCs w:val="28"/>
        </w:rPr>
        <w:t>1. ¿Qué son estas ayudas?</w:t>
      </w:r>
    </w:p>
    <w:p w:rsidR="00D73863" w:rsidRDefault="00D30D29">
      <w:pPr>
        <w:spacing w:after="120"/>
      </w:pPr>
      <w:r>
        <w:rPr>
          <w:rFonts w:ascii="Arial" w:eastAsia="Arial" w:hAnsi="Arial" w:cs="Arial"/>
          <w:sz w:val="22"/>
          <w:szCs w:val="22"/>
        </w:rPr>
        <w:t>Ayudas económicas a familias para pagar, total o parcialmente, la escolarización del alumnado de 1º, 2º y 3º curso del primer ciclo de Educación Infantil (0-3 años), matriculado en:</w:t>
      </w:r>
    </w:p>
    <w:p w:rsidR="00D73863" w:rsidRDefault="00D30D29">
      <w:pPr>
        <w:pStyle w:val="Prrafodelista"/>
        <w:numPr>
          <w:ilvl w:val="0"/>
          <w:numId w:val="2"/>
        </w:numPr>
        <w:spacing w:after="60"/>
      </w:pPr>
      <w:r>
        <w:rPr>
          <w:rFonts w:ascii="Arial" w:eastAsia="Arial" w:hAnsi="Arial" w:cs="Arial"/>
          <w:sz w:val="22"/>
          <w:szCs w:val="22"/>
        </w:rPr>
        <w:t>Escuelas Infantiles municipales o de la Junta de</w:t>
      </w:r>
      <w:r>
        <w:rPr>
          <w:rFonts w:ascii="Arial" w:eastAsia="Arial" w:hAnsi="Arial" w:cs="Arial"/>
          <w:sz w:val="22"/>
          <w:szCs w:val="22"/>
        </w:rPr>
        <w:t xml:space="preserve"> Extremadura que no sean gratuitas.</w:t>
      </w:r>
    </w:p>
    <w:p w:rsidR="00D73863" w:rsidRDefault="00D30D29">
      <w:pPr>
        <w:pStyle w:val="Prrafodelista"/>
        <w:numPr>
          <w:ilvl w:val="0"/>
          <w:numId w:val="2"/>
        </w:numPr>
        <w:spacing w:after="60"/>
      </w:pPr>
      <w:r>
        <w:rPr>
          <w:rFonts w:ascii="Arial" w:eastAsia="Arial" w:hAnsi="Arial" w:cs="Arial"/>
          <w:sz w:val="22"/>
          <w:szCs w:val="22"/>
        </w:rPr>
        <w:t>Centros docentes privados de Educación Infantil autorizados por la Consejería de Educación.</w:t>
      </w:r>
    </w:p>
    <w:p w:rsidR="00D73863" w:rsidRDefault="00D30D29">
      <w:pPr>
        <w:pStyle w:val="Ttulo1"/>
        <w:spacing w:before="300" w:after="150"/>
      </w:pPr>
      <w:r>
        <w:rPr>
          <w:rFonts w:ascii="Arial" w:eastAsia="Arial" w:hAnsi="Arial" w:cs="Arial"/>
          <w:b/>
          <w:bCs/>
          <w:color w:val="1F4E79"/>
          <w:sz w:val="28"/>
          <w:szCs w:val="28"/>
        </w:rPr>
        <w:t>2. Datos clave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000"/>
      </w:tblGrid>
      <w:tr w:rsidR="00D73863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D73863" w:rsidRDefault="00D30D29"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Presupuesto total</w:t>
            </w:r>
          </w:p>
        </w:tc>
        <w:tc>
          <w:tcPr>
            <w:tcW w:w="60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D73863" w:rsidRDefault="00D30D29">
            <w:r>
              <w:rPr>
                <w:rFonts w:ascii="Arial" w:eastAsia="Arial" w:hAnsi="Arial" w:cs="Arial"/>
                <w:sz w:val="22"/>
                <w:szCs w:val="22"/>
              </w:rPr>
              <w:t>6.408.000 € (1.748.000 € en 2026 y 4.660.000 € en 2027)</w:t>
            </w:r>
          </w:p>
        </w:tc>
      </w:tr>
      <w:tr w:rsidR="00D73863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D73863" w:rsidRDefault="00D30D29"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Cuantía máxima</w:t>
            </w:r>
          </w:p>
        </w:tc>
        <w:tc>
          <w:tcPr>
            <w:tcW w:w="60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D73863" w:rsidRDefault="00D30D29">
            <w:r>
              <w:rPr>
                <w:rFonts w:ascii="Arial" w:eastAsia="Arial" w:hAnsi="Arial" w:cs="Arial"/>
                <w:sz w:val="22"/>
                <w:szCs w:val="22"/>
              </w:rPr>
              <w:t>Hasta 200 €/mes por alu</w:t>
            </w:r>
            <w:r>
              <w:rPr>
                <w:rFonts w:ascii="Arial" w:eastAsia="Arial" w:hAnsi="Arial" w:cs="Arial"/>
                <w:sz w:val="22"/>
                <w:szCs w:val="22"/>
              </w:rPr>
              <w:t>mno/a, máximo 12 mensualidades. La cuantía concedida no cambia durante el curso.</w:t>
            </w:r>
          </w:p>
        </w:tc>
      </w:tr>
      <w:tr w:rsidR="00D73863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D73863" w:rsidRDefault="00D30D29"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Plazo de solicitud</w:t>
            </w:r>
          </w:p>
        </w:tc>
        <w:tc>
          <w:tcPr>
            <w:tcW w:w="60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D73863" w:rsidRDefault="00D30D29">
            <w:r>
              <w:rPr>
                <w:rFonts w:ascii="Arial" w:eastAsia="Arial" w:hAnsi="Arial" w:cs="Arial"/>
                <w:sz w:val="22"/>
                <w:szCs w:val="22"/>
              </w:rPr>
              <w:t>2 meses desde el día siguiente a la publicación en el DOE (6 de agosto de 2026). Plazo excepcional del 1 al 15 de mayo de 2027 para quien se escolarice tarde por causa justificada.</w:t>
            </w:r>
          </w:p>
        </w:tc>
      </w:tr>
      <w:tr w:rsidR="00D73863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D73863" w:rsidRDefault="00D30D29"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Dónde se presenta</w:t>
            </w:r>
          </w:p>
        </w:tc>
        <w:tc>
          <w:tcPr>
            <w:tcW w:w="60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D73863" w:rsidRDefault="00D30D29">
            <w:r>
              <w:rPr>
                <w:rFonts w:ascii="Arial" w:eastAsia="Arial" w:hAnsi="Arial" w:cs="Arial"/>
                <w:sz w:val="22"/>
                <w:szCs w:val="22"/>
              </w:rPr>
              <w:t>Delegación Provincial de Educación correspondiente, de f</w:t>
            </w:r>
            <w:r>
              <w:rPr>
                <w:rFonts w:ascii="Arial" w:eastAsia="Arial" w:hAnsi="Arial" w:cs="Arial"/>
                <w:sz w:val="22"/>
                <w:szCs w:val="22"/>
              </w:rPr>
              <w:t>orma electrónica (sede de la Junta de Extremadura) o por los medios del art. 16.4.a) Ley 39/2015.</w:t>
            </w:r>
          </w:p>
        </w:tc>
      </w:tr>
      <w:tr w:rsidR="00D73863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D73863" w:rsidRDefault="00D30D29"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Plazo de resolución</w:t>
            </w:r>
          </w:p>
        </w:tc>
        <w:tc>
          <w:tcPr>
            <w:tcW w:w="60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D73863" w:rsidRDefault="00D30D29">
            <w:r>
              <w:rPr>
                <w:rFonts w:ascii="Arial" w:eastAsia="Arial" w:hAnsi="Arial" w:cs="Arial"/>
                <w:sz w:val="22"/>
                <w:szCs w:val="22"/>
              </w:rPr>
              <w:t>3 meses desde la solicitud. Si no hay respuesta, se entiende desestimada (silencio administrativo).</w:t>
            </w:r>
          </w:p>
        </w:tc>
      </w:tr>
      <w:tr w:rsidR="00D73863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D73863" w:rsidRDefault="00D30D29"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Nº de solicitudes</w:t>
            </w:r>
          </w:p>
        </w:tc>
        <w:tc>
          <w:tcPr>
            <w:tcW w:w="60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D73863" w:rsidRDefault="00D30D29">
            <w:r>
              <w:rPr>
                <w:rFonts w:ascii="Arial" w:eastAsia="Arial" w:hAnsi="Arial" w:cs="Arial"/>
                <w:sz w:val="22"/>
                <w:szCs w:val="22"/>
              </w:rPr>
              <w:t xml:space="preserve">Una por alumno/a; </w:t>
            </w:r>
            <w:r>
              <w:rPr>
                <w:rFonts w:ascii="Arial" w:eastAsia="Arial" w:hAnsi="Arial" w:cs="Arial"/>
                <w:sz w:val="22"/>
                <w:szCs w:val="22"/>
              </w:rPr>
              <w:t>si se presenta más de una, solo se tramita la última.</w:t>
            </w:r>
          </w:p>
        </w:tc>
      </w:tr>
    </w:tbl>
    <w:p w:rsidR="00D73863" w:rsidRDefault="00D30D29">
      <w:pPr>
        <w:pStyle w:val="Ttulo1"/>
        <w:spacing w:before="300" w:after="150"/>
      </w:pPr>
      <w:r>
        <w:rPr>
          <w:rFonts w:ascii="Arial" w:eastAsia="Arial" w:hAnsi="Arial" w:cs="Arial"/>
          <w:b/>
          <w:bCs/>
          <w:color w:val="1F4E79"/>
          <w:sz w:val="28"/>
          <w:szCs w:val="28"/>
        </w:rPr>
        <w:t>3. Requisitos de las familias</w:t>
      </w:r>
    </w:p>
    <w:p w:rsidR="00D73863" w:rsidRDefault="00D30D29">
      <w:pPr>
        <w:pStyle w:val="Prrafodelista"/>
        <w:numPr>
          <w:ilvl w:val="0"/>
          <w:numId w:val="2"/>
        </w:numPr>
        <w:spacing w:after="60"/>
      </w:pPr>
      <w:r>
        <w:rPr>
          <w:rFonts w:ascii="Arial" w:eastAsia="Arial" w:hAnsi="Arial" w:cs="Arial"/>
          <w:sz w:val="22"/>
          <w:szCs w:val="22"/>
        </w:rPr>
        <w:t>Residencia familiar en Extremadura, o condición de extremeño en el exterior.</w:t>
      </w:r>
    </w:p>
    <w:p w:rsidR="00D73863" w:rsidRDefault="00D30D29">
      <w:pPr>
        <w:pStyle w:val="Prrafodelista"/>
        <w:numPr>
          <w:ilvl w:val="0"/>
          <w:numId w:val="2"/>
        </w:numPr>
        <w:spacing w:after="60"/>
      </w:pPr>
      <w:r>
        <w:rPr>
          <w:rFonts w:ascii="Arial" w:eastAsia="Arial" w:hAnsi="Arial" w:cs="Arial"/>
          <w:sz w:val="22"/>
          <w:szCs w:val="22"/>
        </w:rPr>
        <w:t>Disponer de NIF (definitivo o provisional).</w:t>
      </w:r>
    </w:p>
    <w:p w:rsidR="00D73863" w:rsidRDefault="00D30D29">
      <w:pPr>
        <w:pStyle w:val="Prrafodelista"/>
        <w:numPr>
          <w:ilvl w:val="0"/>
          <w:numId w:val="2"/>
        </w:numPr>
        <w:spacing w:after="60"/>
      </w:pPr>
      <w:r>
        <w:rPr>
          <w:rFonts w:ascii="Arial" w:eastAsia="Arial" w:hAnsi="Arial" w:cs="Arial"/>
          <w:sz w:val="22"/>
          <w:szCs w:val="22"/>
        </w:rPr>
        <w:t>El alumno/a debe estar escolarizado en 1º, 2º o 3º</w:t>
      </w:r>
      <w:r>
        <w:rPr>
          <w:rFonts w:ascii="Arial" w:eastAsia="Arial" w:hAnsi="Arial" w:cs="Arial"/>
          <w:sz w:val="22"/>
          <w:szCs w:val="22"/>
        </w:rPr>
        <w:t xml:space="preserve"> curso del primer ciclo de Infantil, en centro público o privado autorizado.</w:t>
      </w:r>
    </w:p>
    <w:p w:rsidR="00D73863" w:rsidRDefault="00D30D29">
      <w:pPr>
        <w:pStyle w:val="Prrafodelista"/>
        <w:numPr>
          <w:ilvl w:val="0"/>
          <w:numId w:val="2"/>
        </w:numPr>
        <w:spacing w:after="60"/>
      </w:pPr>
      <w:r>
        <w:rPr>
          <w:rFonts w:ascii="Arial" w:eastAsia="Arial" w:hAnsi="Arial" w:cs="Arial"/>
          <w:sz w:val="22"/>
          <w:szCs w:val="22"/>
        </w:rPr>
        <w:t>No estar incurso en las prohibiciones del art. 12.2 de la Ley 6/2011 de Subvenciones de Extremadura.</w:t>
      </w:r>
    </w:p>
    <w:p w:rsidR="00D73863" w:rsidRDefault="00D30D29">
      <w:pPr>
        <w:pStyle w:val="Ttulo1"/>
        <w:spacing w:before="300" w:after="150"/>
      </w:pPr>
      <w:r>
        <w:rPr>
          <w:rFonts w:ascii="Arial" w:eastAsia="Arial" w:hAnsi="Arial" w:cs="Arial"/>
          <w:b/>
          <w:bCs/>
          <w:color w:val="1F4E79"/>
          <w:sz w:val="28"/>
          <w:szCs w:val="28"/>
        </w:rPr>
        <w:t>4. Documentación a presentar (junto al Anexo I)</w:t>
      </w:r>
    </w:p>
    <w:p w:rsidR="00D73863" w:rsidRDefault="00D30D29">
      <w:pPr>
        <w:pStyle w:val="Prrafodelista"/>
        <w:numPr>
          <w:ilvl w:val="0"/>
          <w:numId w:val="2"/>
        </w:numPr>
        <w:spacing w:after="60"/>
      </w:pPr>
      <w:r>
        <w:rPr>
          <w:rFonts w:ascii="Arial" w:eastAsia="Arial" w:hAnsi="Arial" w:cs="Arial"/>
          <w:sz w:val="22"/>
          <w:szCs w:val="22"/>
        </w:rPr>
        <w:t>Alta de terceros del alumno/a (cuenta bancaria para el ingreso), salvo que ya conste en el Sistema de Terceros.</w:t>
      </w:r>
    </w:p>
    <w:p w:rsidR="00D73863" w:rsidRDefault="00D30D29">
      <w:pPr>
        <w:pStyle w:val="Prrafodelista"/>
        <w:numPr>
          <w:ilvl w:val="0"/>
          <w:numId w:val="2"/>
        </w:numPr>
        <w:spacing w:after="60"/>
      </w:pPr>
      <w:r>
        <w:rPr>
          <w:rFonts w:ascii="Arial" w:eastAsia="Arial" w:hAnsi="Arial" w:cs="Arial"/>
          <w:sz w:val="22"/>
          <w:szCs w:val="22"/>
        </w:rPr>
        <w:lastRenderedPageBreak/>
        <w:t>Certificado del centro educativo (Anexo II) con la cuota mensual y el número de meses de matrícula.</w:t>
      </w:r>
    </w:p>
    <w:p w:rsidR="00D73863" w:rsidRDefault="00D30D29">
      <w:pPr>
        <w:pStyle w:val="Prrafodelista"/>
        <w:numPr>
          <w:ilvl w:val="0"/>
          <w:numId w:val="2"/>
        </w:numPr>
        <w:spacing w:after="60"/>
      </w:pPr>
      <w:r>
        <w:rPr>
          <w:rFonts w:ascii="Arial" w:eastAsia="Arial" w:hAnsi="Arial" w:cs="Arial"/>
          <w:sz w:val="22"/>
          <w:szCs w:val="22"/>
        </w:rPr>
        <w:t>Certificado de estar al corriente con Hacienda estatal, autonómica y Seguridad Social, o autorización para que se consulte de oficio.</w:t>
      </w:r>
    </w:p>
    <w:p w:rsidR="00D73863" w:rsidRDefault="00D30D29">
      <w:pPr>
        <w:pStyle w:val="Ttulo1"/>
        <w:spacing w:before="300" w:after="150"/>
      </w:pPr>
      <w:r>
        <w:rPr>
          <w:rFonts w:ascii="Arial" w:eastAsia="Arial" w:hAnsi="Arial" w:cs="Arial"/>
          <w:b/>
          <w:bCs/>
          <w:color w:val="1F4E79"/>
          <w:sz w:val="28"/>
          <w:szCs w:val="28"/>
        </w:rPr>
        <w:t>5. Cómo se paga</w:t>
      </w:r>
    </w:p>
    <w:p w:rsidR="00D73863" w:rsidRDefault="00D30D29">
      <w:pPr>
        <w:pStyle w:val="Prrafodelista"/>
        <w:numPr>
          <w:ilvl w:val="0"/>
          <w:numId w:val="2"/>
        </w:numPr>
        <w:spacing w:after="60"/>
      </w:pPr>
      <w:r>
        <w:rPr>
          <w:rFonts w:ascii="Arial" w:eastAsia="Arial" w:hAnsi="Arial" w:cs="Arial"/>
          <w:sz w:val="22"/>
          <w:szCs w:val="22"/>
        </w:rPr>
        <w:t>1er pago (anticipado): tras la resolución de concesión, cubre de septiembre a noviembre.</w:t>
      </w:r>
    </w:p>
    <w:p w:rsidR="00D73863" w:rsidRDefault="00D30D29">
      <w:pPr>
        <w:pStyle w:val="Prrafodelista"/>
        <w:numPr>
          <w:ilvl w:val="0"/>
          <w:numId w:val="2"/>
        </w:numPr>
        <w:spacing w:after="60"/>
      </w:pPr>
      <w:r>
        <w:rPr>
          <w:rFonts w:ascii="Arial" w:eastAsia="Arial" w:hAnsi="Arial" w:cs="Arial"/>
          <w:sz w:val="22"/>
          <w:szCs w:val="22"/>
        </w:rPr>
        <w:t>2º pago: previa j</w:t>
      </w:r>
      <w:r>
        <w:rPr>
          <w:rFonts w:ascii="Arial" w:eastAsia="Arial" w:hAnsi="Arial" w:cs="Arial"/>
          <w:sz w:val="22"/>
          <w:szCs w:val="22"/>
        </w:rPr>
        <w:t>ustificación de las cuotas de septiembre a marzo.</w:t>
      </w:r>
    </w:p>
    <w:p w:rsidR="00D73863" w:rsidRDefault="00D30D29">
      <w:pPr>
        <w:pStyle w:val="Prrafodelista"/>
        <w:numPr>
          <w:ilvl w:val="0"/>
          <w:numId w:val="2"/>
        </w:numPr>
        <w:spacing w:after="60"/>
      </w:pPr>
      <w:r>
        <w:rPr>
          <w:rFonts w:ascii="Arial" w:eastAsia="Arial" w:hAnsi="Arial" w:cs="Arial"/>
          <w:sz w:val="22"/>
          <w:szCs w:val="22"/>
        </w:rPr>
        <w:t>3er pago: al finalizar el curso, previa justificación del resto del periodo.</w:t>
      </w:r>
    </w:p>
    <w:p w:rsidR="00D73863" w:rsidRDefault="00D30D29">
      <w:pPr>
        <w:spacing w:after="120"/>
      </w:pPr>
      <w:r>
        <w:rPr>
          <w:rFonts w:ascii="Arial" w:eastAsia="Arial" w:hAnsi="Arial" w:cs="Arial"/>
          <w:sz w:val="22"/>
          <w:szCs w:val="22"/>
        </w:rPr>
        <w:t>Los centros deben remitir los certificados de cuotas abonadas: en la primera quincena de marzo (periodo septiembre-marzo) y en la</w:t>
      </w:r>
      <w:r>
        <w:rPr>
          <w:rFonts w:ascii="Arial" w:eastAsia="Arial" w:hAnsi="Arial" w:cs="Arial"/>
          <w:sz w:val="22"/>
          <w:szCs w:val="22"/>
        </w:rPr>
        <w:t xml:space="preserve"> primera quincena de julio (resto del curso); si hay alumnado matriculado en agosto, en la primera quincena de septiembre.</w:t>
      </w:r>
    </w:p>
    <w:p w:rsidR="00D73863" w:rsidRDefault="00D30D29">
      <w:pPr>
        <w:pStyle w:val="Ttulo1"/>
        <w:spacing w:before="300" w:after="150"/>
      </w:pPr>
      <w:r>
        <w:rPr>
          <w:rFonts w:ascii="Arial" w:eastAsia="Arial" w:hAnsi="Arial" w:cs="Arial"/>
          <w:b/>
          <w:bCs/>
          <w:color w:val="1F4E79"/>
          <w:sz w:val="28"/>
          <w:szCs w:val="28"/>
        </w:rPr>
        <w:t>6. Compatibilidad y reintegro</w:t>
      </w:r>
    </w:p>
    <w:p w:rsidR="00D73863" w:rsidRDefault="00D30D29">
      <w:pPr>
        <w:pStyle w:val="Prrafodelista"/>
        <w:numPr>
          <w:ilvl w:val="0"/>
          <w:numId w:val="2"/>
        </w:numPr>
        <w:spacing w:after="60"/>
      </w:pPr>
      <w:r>
        <w:rPr>
          <w:rFonts w:ascii="Arial" w:eastAsia="Arial" w:hAnsi="Arial" w:cs="Arial"/>
          <w:sz w:val="22"/>
          <w:szCs w:val="22"/>
        </w:rPr>
        <w:t>Son compatibles con otras ayudas para el mismo fin, siempre que la suma no supere el coste real del ser</w:t>
      </w:r>
      <w:r>
        <w:rPr>
          <w:rFonts w:ascii="Arial" w:eastAsia="Arial" w:hAnsi="Arial" w:cs="Arial"/>
          <w:sz w:val="22"/>
          <w:szCs w:val="22"/>
        </w:rPr>
        <w:t>vicio.</w:t>
      </w:r>
    </w:p>
    <w:p w:rsidR="00D73863" w:rsidRDefault="00D30D29">
      <w:pPr>
        <w:pStyle w:val="Prrafodelista"/>
        <w:numPr>
          <w:ilvl w:val="0"/>
          <w:numId w:val="2"/>
        </w:numPr>
        <w:spacing w:after="60"/>
      </w:pPr>
      <w:r>
        <w:rPr>
          <w:rFonts w:ascii="Arial" w:eastAsia="Arial" w:hAnsi="Arial" w:cs="Arial"/>
          <w:sz w:val="22"/>
          <w:szCs w:val="22"/>
        </w:rPr>
        <w:t>Si se justifica al menos el 60% de la ayuda concedida, el reintegro se limita a la parte no justificada (principio de proporcionalidad); por debajo de ese porcentaje, el incumplimiento se considera total.</w:t>
      </w:r>
    </w:p>
    <w:p w:rsidR="00D73863" w:rsidRDefault="00D30D29">
      <w:pPr>
        <w:pStyle w:val="Ttulo1"/>
        <w:spacing w:before="300" w:after="150"/>
      </w:pPr>
      <w:r>
        <w:rPr>
          <w:rFonts w:ascii="Arial" w:eastAsia="Arial" w:hAnsi="Arial" w:cs="Arial"/>
          <w:b/>
          <w:bCs/>
          <w:color w:val="1F4E79"/>
          <w:sz w:val="28"/>
          <w:szCs w:val="28"/>
        </w:rPr>
        <w:t>7. Recursos</w:t>
      </w:r>
    </w:p>
    <w:p w:rsidR="00D73863" w:rsidRDefault="00D30D29">
      <w:pPr>
        <w:spacing w:after="120"/>
      </w:pPr>
      <w:r>
        <w:rPr>
          <w:rFonts w:ascii="Arial" w:eastAsia="Arial" w:hAnsi="Arial" w:cs="Arial"/>
          <w:sz w:val="22"/>
          <w:szCs w:val="22"/>
        </w:rPr>
        <w:t>Cabe recurso de alzada ante el p</w:t>
      </w:r>
      <w:r>
        <w:rPr>
          <w:rFonts w:ascii="Arial" w:eastAsia="Arial" w:hAnsi="Arial" w:cs="Arial"/>
          <w:sz w:val="22"/>
          <w:szCs w:val="22"/>
        </w:rPr>
        <w:t>ropio órgano o ante la Consejera de Educación y Formación Profesional, en el plazo de un mes desde la publicación en el DOE.</w:t>
      </w:r>
    </w:p>
    <w:p w:rsidR="00D73863" w:rsidRDefault="00D30D29">
      <w:pPr>
        <w:pStyle w:val="Ttulo1"/>
        <w:spacing w:before="300" w:after="150"/>
      </w:pPr>
      <w:r>
        <w:rPr>
          <w:rFonts w:ascii="Arial" w:eastAsia="Arial" w:hAnsi="Arial" w:cs="Arial"/>
          <w:b/>
          <w:bCs/>
          <w:color w:val="1F4E79"/>
          <w:sz w:val="28"/>
          <w:szCs w:val="28"/>
        </w:rPr>
        <w:t>8. Normativa de referencia</w:t>
      </w:r>
    </w:p>
    <w:p w:rsidR="00D73863" w:rsidRDefault="00D30D29">
      <w:pPr>
        <w:pStyle w:val="Prrafodelista"/>
        <w:numPr>
          <w:ilvl w:val="0"/>
          <w:numId w:val="2"/>
        </w:numPr>
        <w:spacing w:after="60"/>
      </w:pPr>
      <w:r>
        <w:rPr>
          <w:rFonts w:ascii="Arial" w:eastAsia="Arial" w:hAnsi="Arial" w:cs="Arial"/>
          <w:sz w:val="22"/>
          <w:szCs w:val="22"/>
        </w:rPr>
        <w:t>Decreto 56/2025, de 10 de junio (bases reguladoras) — DOE nº 123, de 27 de junio de 2025.</w:t>
      </w:r>
    </w:p>
    <w:p w:rsidR="00D73863" w:rsidRDefault="00D30D29">
      <w:pPr>
        <w:pStyle w:val="Prrafodelista"/>
        <w:numPr>
          <w:ilvl w:val="0"/>
          <w:numId w:val="2"/>
        </w:numPr>
        <w:spacing w:after="60"/>
      </w:pPr>
      <w:r>
        <w:rPr>
          <w:rFonts w:ascii="Arial" w:eastAsia="Arial" w:hAnsi="Arial" w:cs="Arial"/>
          <w:sz w:val="22"/>
          <w:szCs w:val="22"/>
        </w:rPr>
        <w:t>Ley 6/2011, de</w:t>
      </w:r>
      <w:r>
        <w:rPr>
          <w:rFonts w:ascii="Arial" w:eastAsia="Arial" w:hAnsi="Arial" w:cs="Arial"/>
          <w:sz w:val="22"/>
          <w:szCs w:val="22"/>
        </w:rPr>
        <w:t xml:space="preserve"> 23 de marzo, de Subvenciones de la Comunidad Autónoma de Extremadura.</w:t>
      </w:r>
    </w:p>
    <w:p w:rsidR="00D73863" w:rsidRDefault="00D30D29">
      <w:pPr>
        <w:pStyle w:val="Prrafodelista"/>
        <w:numPr>
          <w:ilvl w:val="0"/>
          <w:numId w:val="2"/>
        </w:numPr>
        <w:spacing w:after="60"/>
      </w:pPr>
      <w:r>
        <w:rPr>
          <w:rFonts w:ascii="Arial" w:eastAsia="Arial" w:hAnsi="Arial" w:cs="Arial"/>
          <w:sz w:val="22"/>
          <w:szCs w:val="22"/>
        </w:rPr>
        <w:t>Ley 38/2003, de 17 de noviembre, General de Subvenciones.</w:t>
      </w:r>
    </w:p>
    <w:p w:rsidR="00D73863" w:rsidRDefault="00D30D29">
      <w:pPr>
        <w:pStyle w:val="Prrafodelista"/>
        <w:numPr>
          <w:ilvl w:val="0"/>
          <w:numId w:val="2"/>
        </w:numPr>
        <w:spacing w:after="60"/>
      </w:pPr>
      <w:r>
        <w:rPr>
          <w:rFonts w:ascii="Arial" w:eastAsia="Arial" w:hAnsi="Arial" w:cs="Arial"/>
          <w:sz w:val="22"/>
          <w:szCs w:val="22"/>
        </w:rPr>
        <w:t>Resolución de 13 de mayo de 2026 (delegación de competencias) — DOE nº 92, de 15 de mayo de 2026.</w:t>
      </w:r>
    </w:p>
    <w:p w:rsidR="00D73863" w:rsidRDefault="00D30D29">
      <w:pPr>
        <w:pBdr>
          <w:top w:val="single" w:sz="4" w:space="4" w:color="CCCCCC"/>
        </w:pBdr>
        <w:spacing w:before="300"/>
      </w:pPr>
      <w:r>
        <w:rPr>
          <w:rFonts w:ascii="Arial" w:eastAsia="Arial" w:hAnsi="Arial" w:cs="Arial"/>
          <w:i/>
          <w:iCs/>
          <w:color w:val="888888"/>
          <w:sz w:val="18"/>
          <w:szCs w:val="18"/>
        </w:rPr>
        <w:t>Fuente: DOE nº 151, 6 de agos</w:t>
      </w:r>
      <w:r>
        <w:rPr>
          <w:rFonts w:ascii="Arial" w:eastAsia="Arial" w:hAnsi="Arial" w:cs="Arial"/>
          <w:i/>
          <w:iCs/>
          <w:color w:val="888888"/>
          <w:sz w:val="18"/>
          <w:szCs w:val="18"/>
        </w:rPr>
        <w:t>to de 2026, pp. 34476-34495. Este resumen es orientativo; para trámites concretos, consulta el texto íntegro en doe.juntaex.es.</w:t>
      </w:r>
    </w:p>
    <w:p w:rsidR="00D73863" w:rsidRDefault="00D73863" w:rsidP="00D30D29">
      <w:pPr>
        <w:spacing w:before="600"/>
        <w:jc w:val="right"/>
      </w:pPr>
      <w:bookmarkStart w:id="0" w:name="_GoBack"/>
      <w:bookmarkEnd w:id="0"/>
    </w:p>
    <w:sectPr w:rsidR="00D73863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81BE3"/>
    <w:multiLevelType w:val="hybridMultilevel"/>
    <w:tmpl w:val="1ECCC0E8"/>
    <w:lvl w:ilvl="0" w:tplc="1B54AECE">
      <w:start w:val="1"/>
      <w:numFmt w:val="bullet"/>
      <w:lvlText w:val="●"/>
      <w:lvlJc w:val="left"/>
      <w:pPr>
        <w:ind w:left="720" w:hanging="360"/>
      </w:pPr>
    </w:lvl>
    <w:lvl w:ilvl="1" w:tplc="C240819A">
      <w:start w:val="1"/>
      <w:numFmt w:val="bullet"/>
      <w:lvlText w:val="○"/>
      <w:lvlJc w:val="left"/>
      <w:pPr>
        <w:ind w:left="1440" w:hanging="360"/>
      </w:pPr>
    </w:lvl>
    <w:lvl w:ilvl="2" w:tplc="6C3EEF44">
      <w:start w:val="1"/>
      <w:numFmt w:val="bullet"/>
      <w:lvlText w:val="■"/>
      <w:lvlJc w:val="left"/>
      <w:pPr>
        <w:ind w:left="2160" w:hanging="360"/>
      </w:pPr>
    </w:lvl>
    <w:lvl w:ilvl="3" w:tplc="8CE49A4C">
      <w:start w:val="1"/>
      <w:numFmt w:val="bullet"/>
      <w:lvlText w:val="●"/>
      <w:lvlJc w:val="left"/>
      <w:pPr>
        <w:ind w:left="2880" w:hanging="360"/>
      </w:pPr>
    </w:lvl>
    <w:lvl w:ilvl="4" w:tplc="DC74F1AA">
      <w:start w:val="1"/>
      <w:numFmt w:val="bullet"/>
      <w:lvlText w:val="○"/>
      <w:lvlJc w:val="left"/>
      <w:pPr>
        <w:ind w:left="3600" w:hanging="360"/>
      </w:pPr>
    </w:lvl>
    <w:lvl w:ilvl="5" w:tplc="B8BA5058">
      <w:start w:val="1"/>
      <w:numFmt w:val="bullet"/>
      <w:lvlText w:val="■"/>
      <w:lvlJc w:val="left"/>
      <w:pPr>
        <w:ind w:left="4320" w:hanging="360"/>
      </w:pPr>
    </w:lvl>
    <w:lvl w:ilvl="6" w:tplc="C1D6CB74">
      <w:start w:val="1"/>
      <w:numFmt w:val="bullet"/>
      <w:lvlText w:val="●"/>
      <w:lvlJc w:val="left"/>
      <w:pPr>
        <w:ind w:left="5040" w:hanging="360"/>
      </w:pPr>
    </w:lvl>
    <w:lvl w:ilvl="7" w:tplc="A2309DEE">
      <w:start w:val="1"/>
      <w:numFmt w:val="bullet"/>
      <w:lvlText w:val="●"/>
      <w:lvlJc w:val="left"/>
      <w:pPr>
        <w:ind w:left="5760" w:hanging="360"/>
      </w:pPr>
    </w:lvl>
    <w:lvl w:ilvl="8" w:tplc="449226D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393099C"/>
    <w:multiLevelType w:val="hybridMultilevel"/>
    <w:tmpl w:val="B964B6C0"/>
    <w:lvl w:ilvl="0" w:tplc="817E2E7C">
      <w:start w:val="1"/>
      <w:numFmt w:val="bullet"/>
      <w:lvlText w:val="•"/>
      <w:lvlJc w:val="left"/>
      <w:pPr>
        <w:ind w:left="450" w:hanging="260"/>
      </w:pPr>
    </w:lvl>
    <w:lvl w:ilvl="1" w:tplc="9EEAE318">
      <w:numFmt w:val="decimal"/>
      <w:lvlText w:val=""/>
      <w:lvlJc w:val="left"/>
    </w:lvl>
    <w:lvl w:ilvl="2" w:tplc="A4468988">
      <w:numFmt w:val="decimal"/>
      <w:lvlText w:val=""/>
      <w:lvlJc w:val="left"/>
    </w:lvl>
    <w:lvl w:ilvl="3" w:tplc="CD4C7B96">
      <w:numFmt w:val="decimal"/>
      <w:lvlText w:val=""/>
      <w:lvlJc w:val="left"/>
    </w:lvl>
    <w:lvl w:ilvl="4" w:tplc="BA70E1F4">
      <w:numFmt w:val="decimal"/>
      <w:lvlText w:val=""/>
      <w:lvlJc w:val="left"/>
    </w:lvl>
    <w:lvl w:ilvl="5" w:tplc="0CF2E25E">
      <w:numFmt w:val="decimal"/>
      <w:lvlText w:val=""/>
      <w:lvlJc w:val="left"/>
    </w:lvl>
    <w:lvl w:ilvl="6" w:tplc="B552B6AE">
      <w:numFmt w:val="decimal"/>
      <w:lvlText w:val=""/>
      <w:lvlJc w:val="left"/>
    </w:lvl>
    <w:lvl w:ilvl="7" w:tplc="CA468CD6">
      <w:numFmt w:val="decimal"/>
      <w:lvlText w:val=""/>
      <w:lvlJc w:val="left"/>
    </w:lvl>
    <w:lvl w:ilvl="8" w:tplc="8D0A542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863"/>
    <w:rsid w:val="00D30D29"/>
    <w:rsid w:val="00D73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42D246-8A95-46D8-AFD5-C3714FC83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qFormat/>
    <w:pPr>
      <w:outlineLvl w:val="3"/>
    </w:pPr>
    <w:rPr>
      <w:i/>
      <w:iCs/>
      <w:color w:val="2E74B5"/>
    </w:rPr>
  </w:style>
  <w:style w:type="paragraph" w:styleId="Ttulo5">
    <w:name w:val="heading 5"/>
    <w:qFormat/>
    <w:pPr>
      <w:outlineLvl w:val="4"/>
    </w:pPr>
    <w:rPr>
      <w:color w:val="2E74B5"/>
    </w:rPr>
  </w:style>
  <w:style w:type="paragraph" w:styleId="Ttulo6">
    <w:name w:val="heading 6"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Administracion</cp:lastModifiedBy>
  <cp:revision>2</cp:revision>
  <dcterms:created xsi:type="dcterms:W3CDTF">2026-08-25T09:19:00Z</dcterms:created>
  <dcterms:modified xsi:type="dcterms:W3CDTF">2026-08-25T09:19:00Z</dcterms:modified>
</cp:coreProperties>
</file>