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BANDO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D/Dña.      ANTONIO MUÑOZ SANCHEZ  , Alcaldesa-Presidenta del Ayuntamiento de Garganta la Olla  hace saber: 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Que en uso de las atribuciones que me corresponden en virtud de la Ley 7/1985, de 2 de abril, Reguladora de las Bases de Régimen Local y vista la RESOLUCIÓN de 11 de marzo de 2020, del Vicepresidente Segundo y Consejero, por la que se adoptan medidas preventivas y recomendaciones de salud pública en Extremadura comconsecuencia de la situación y evolución del coronavirus (COVID-19). (DOE 12/03/2020), así como las recomendaciones del Gobierno de España, en el día de la fecha, esta alcaldía ha acordado lo siguiente: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1º.- Suspender desde el día 14 de marzo e inicialmente, hasta el próximo día 30 de marzo, todas las actividades culturales, deportivas, formativas, de ocio y cualquiera otras organizadas por el Ayuntamiento de .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2º.- Cerrar al público, desde el día 14 de marzo e inicialmente hasta el próximo día 30 de marzo, las siguientes instalaciones municipales:  (eliminar o Añadir todas aquellas de las que disponga el ayuntamiento) 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- Gimnasio Municipal 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- Pabellón Polideportivo Municipal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- Pista de Pádel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- Biblioteca Municipal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Espacio de Convivencia y Ciudadanía Joven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Centro de Interpretación de visitantes / Museo 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3º.- Cerrar al público desde el día 16 de marzo e inicialmente hasta el próximo día 30 la Guardería Municipal.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3º.- Suspender, cualquier otra actividad lúdica, deportiva o cultural que pudiera tener lugar en instalaciones municipales (gimnasia de mantenimiento, aerobic…)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4º.- Suspender, desde el día 14 de marzo e inicialmente, hasta el próximo día 30 de marzo, la celebración del mercadillo semanal celebrado los.                                                    .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5º.- Restringir totalmente las visitas a la Residencia de Mayores........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6º.- Considerar el cierre del Centro de Día y pasar a atender a los usuarios y usuarias en el domicilio. 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7º.- Realizar las siguientes recomendaciones: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2"/>
          <w:shd w:fill="auto" w:val="clear"/>
        </w:rPr>
        <w:t xml:space="preserve">A todas aquellas personas provenientes de otras comunidades autónomas, con especial atención a los procedentes de Madrid, La Rioja y País Vasco, así como a los estudiantes universitarios, deberán permanecer en aislamiento domiciliario durante un período de 72 horas.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240" w:hanging="24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2"/>
          <w:shd w:fill="auto" w:val="clear"/>
        </w:rPr>
        <w:t xml:space="preserve">En caso de tener síntomas de infección respiratoria (tos intensa, fiebre o dificultad para respirar o ahogo) y ha viajado a zonas de riesgo o ha estado en contacto con personas que provengan de zonas de riesgo o que hayan dado positivo en pruebas del coronavirus, no acuda ni al consultorio ni al centro de salud ni al hospital, llame al 112 y espere instrucciones.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El Ayuntamiento se encuentra en contacto con las autoridades sanitarias y dará traslado a la ciudadanía de cuantas disposiciones se dicten en la materia.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Por último, hacer un llamamiento a la calma y a la responsabilidad individual, haciendo hincapié en las medidas preventivas indicadas.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Lo que se hace público para general conocimiento.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En  a de marzo de 2020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  <w:t xml:space="preserve">Alcalde/sa-Presidente/a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