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“La Biblioteca Habitada” 2021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Se pone en conocimiento de todas las personas interesadas la realización de una acción formativa en gestión y dinamización bibliotecaria dirigida al personal técnico de las bibliotecas, agencias de lectura y a toda aquella persona que tenga interés en este sector.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Formación: Presencial y on-line en dos turnos de mañana o de tarde.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Duración: 50 horas (formación, gestión y proyecto).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Destinatarios/as: personal de bibliotecas de las localidades de Sierra de Gata.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Objetivos: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Analizar de forma imaginativa el fomento de la lectura en las bibliotecas públicas.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Reflexionar y compartir experiencias y técnicas que puedan llevarse a cabo en diferentes ámbitos del fomento de la lectura.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Proporcionar al personal de biblioteca habilidades, información y herramientas que les capaciten para potenciar en sus usuarios/as el hábito lector.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Contenido del curso: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* Gestión de Bibliotecas: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Concepto de biblioteca. Tipos de Bibliotecas y sus funciones.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Gestión y Administración de Bibliotecas.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Personal Bibliotecario. Tipos y funciones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Servicios básicos de la Biblioteca Municipal. Registro, catalogación y préstamo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Organización de los espacios de la Biblioteca. Equipamiento básico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Gestión de la colección en una Biblioteca Municipal: criterios para la selección y adquisición de fondos.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El catálogo. Conceptos básicos de catalogación. Normas.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La atención al público en una biblioteca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Digitalización bibliotecaria. Introducción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Las tecnologías de la información y la comunicación (TIC) y su aplicación en las biblioteca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Bibliotecas digitales nacionales e internacionales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Preservación y conservación de contenidos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Derechos de Autor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Licencias GNU y Licencias Creative Commons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Open Access y Obras huérfanas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Gestión de redes sociales. Consideraciones generales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Medios y redes sociales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Buenas prácticas en redes sociales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* Dinamización de bibliotecas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Módulo I: Las Bibliotecas. Técnicas de animación y competencias lectoras.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Módulo II: La Biblioteca inclusiva.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Módulo III: Biblioteca y los recursos digitales.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Módulo IV: Dinamización bibliotecaria y recursos literarios. Otros recursos.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Módulo V: Lecturas y etapas del desarrollo humano.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Módulo VI: El cuento y la narración oral.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Módulo VII: Conceptos básicos para la realización de un proyecto de dinamización bibliotecaria.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 xml:space="preserve">Organiza: Asociación de Gestoras y Gestores Culturales de Extremadura.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 xml:space="preserve">Financia: Diputación de Cáceres.</w:t>
      </w:r>
    </w:p>
    <w:p w:rsidR="00000000" w:rsidDel="00000000" w:rsidP="00000000" w:rsidRDefault="00000000" w:rsidRPr="00000000" w14:paraId="00000032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Colabora: Ayuntamientos de las localidades implicadas.</w:t>
      </w:r>
    </w:p>
    <w:p w:rsidR="00000000" w:rsidDel="00000000" w:rsidP="00000000" w:rsidRDefault="00000000" w:rsidRPr="00000000" w14:paraId="00000033">
      <w:pPr>
        <w:jc w:val="both"/>
        <w:rPr/>
      </w:pPr>
      <w:bookmarkStart w:colFirst="0" w:colLast="0" w:name="_heading=h.4oe94law2i9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jc w:val="both"/>
        <w:rPr/>
      </w:pPr>
      <w:bookmarkStart w:colFirst="0" w:colLast="0" w:name="_heading=h.q97tx3jg7dao" w:id="2"/>
      <w:bookmarkEnd w:id="2"/>
      <w:r w:rsidDel="00000000" w:rsidR="00000000" w:rsidRPr="00000000">
        <w:rPr>
          <w:rtl w:val="0"/>
        </w:rPr>
      </w:r>
    </w:p>
    <w:sectPr>
      <w:footerReference r:id="rId7" w:type="default"/>
      <w:pgSz w:h="16840" w:w="1190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114300" distT="114300" distL="114300" distR="114300">
          <wp:extent cx="1524953" cy="766308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4953" cy="7663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114300" distT="114300" distL="114300" distR="114300">
          <wp:extent cx="1366183" cy="674959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6183" cy="67495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0"/>
    <w:next w:val="normal0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0"/>
    <w:next w:val="normal0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0"/>
    <w:next w:val="normal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0" w:customStyle="1">
    <w:name w:val="normal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BD23D9"/>
    <w:pPr>
      <w:spacing w:after="100" w:afterAutospacing="1" w:before="100" w:beforeAutospacing="1"/>
    </w:pPr>
    <w:rPr>
      <w:rFonts w:ascii="Times" w:cs="Times New Roman" w:hAnsi="Times"/>
      <w:sz w:val="20"/>
      <w:szCs w:val="20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 w:val="1"/>
    <w:rsid w:val="00C55CC6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55CC6"/>
  </w:style>
  <w:style w:type="paragraph" w:styleId="Piedepgina">
    <w:name w:val="footer"/>
    <w:basedOn w:val="Normal"/>
    <w:link w:val="PiedepginaCar"/>
    <w:uiPriority w:val="99"/>
    <w:unhideWhenUsed w:val="1"/>
    <w:rsid w:val="00C55CC6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55CC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55CC6"/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55CC6"/>
    <w:rPr>
      <w:rFonts w:ascii="Lucida Grande" w:cs="Lucida Grande" w:hAnsi="Lucida Grande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kkuPmlPkMi1wtGrIAMrWLS8+cg==">AMUW2mVkZMQKKaiOK5JUdayWdR/GUeW7ABTs4/5X9tXRuRKUKkNb8azkpBmhTpi4PHny6gCluxlq+czDyPyFmzHL7+ZBEbavHG2FY+gbbE0IKCGGNIHCEaYWqBT3Y5wwzFXjf+ynneb1FcpoXCYPv0Sje4lUegBbUV7fSbdgaJTYsXHTSOeC3+A=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2021-08-31T09:56:00Z</dcterms:created>
  <dc:creator>Rosa Maria Roncero Acera</dc:creator>
</cp:coreProperties>
</file>